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7769" w14:textId="551A3F3B" w:rsidR="009B2B28" w:rsidRPr="00190E5F" w:rsidRDefault="00237A4A" w:rsidP="009B2B28">
      <w:pPr>
        <w:pStyle w:val="BodyText"/>
        <w:jc w:val="both"/>
        <w:rPr>
          <w:rFonts w:cstheme="minorHAnsi"/>
          <w:szCs w:val="22"/>
        </w:rPr>
      </w:pPr>
      <w:bookmarkStart w:id="0" w:name="_Hlk175773247"/>
      <w:r w:rsidRPr="00190E5F">
        <w:rPr>
          <w:rFonts w:cstheme="minorHAnsi"/>
          <w:szCs w:val="22"/>
        </w:rPr>
        <w:t xml:space="preserve">NOT FOR RELEASE, PUBLICATION OR DISTRIBUTION </w:t>
      </w:r>
      <w:r w:rsidR="008102C4" w:rsidRPr="00190E5F">
        <w:rPr>
          <w:rFonts w:cstheme="minorHAnsi"/>
          <w:szCs w:val="22"/>
        </w:rPr>
        <w:t xml:space="preserve">IN OR INTO, OR </w:t>
      </w:r>
      <w:r w:rsidRPr="00190E5F">
        <w:rPr>
          <w:rFonts w:cstheme="minorHAnsi"/>
          <w:szCs w:val="22"/>
        </w:rPr>
        <w:t xml:space="preserve">TO ANY </w:t>
      </w:r>
      <w:r w:rsidR="008102C4" w:rsidRPr="00190E5F">
        <w:rPr>
          <w:rFonts w:cstheme="minorHAnsi"/>
          <w:szCs w:val="22"/>
        </w:rPr>
        <w:t xml:space="preserve">PERSON LOCATED OR RESIDENT IN, ANY JURISDICTION WHERE IT IS UNLAWFUL TO RELEASE, PUBLISH OR DISTRIBUTE THIS ANNOUNCEMENT OR THE </w:t>
      </w:r>
      <w:r w:rsidR="006008DD">
        <w:rPr>
          <w:rFonts w:cstheme="minorHAnsi"/>
          <w:szCs w:val="22"/>
        </w:rPr>
        <w:t>OFFER TO PURCHASE</w:t>
      </w:r>
      <w:r w:rsidR="008102C4" w:rsidRPr="00190E5F">
        <w:rPr>
          <w:rFonts w:cstheme="minorHAnsi"/>
          <w:szCs w:val="22"/>
        </w:rPr>
        <w:t xml:space="preserve">. </w:t>
      </w:r>
    </w:p>
    <w:p w14:paraId="290367A7" w14:textId="2591DAA5" w:rsidR="00EA18DB" w:rsidRPr="00EA18DB" w:rsidRDefault="00EA18DB" w:rsidP="00EA18DB">
      <w:pPr>
        <w:pStyle w:val="BodyText"/>
        <w:jc w:val="both"/>
        <w:rPr>
          <w:rFonts w:cstheme="minorHAnsi"/>
          <w:b/>
          <w:szCs w:val="22"/>
        </w:rPr>
      </w:pPr>
      <w:r w:rsidRPr="007A3CB7">
        <w:rPr>
          <w:rFonts w:cstheme="minorHAnsi"/>
          <w:b/>
          <w:szCs w:val="22"/>
        </w:rPr>
        <w:t xml:space="preserve">JSC NC “KAZMUNAYGAS” AND </w:t>
      </w:r>
      <w:r w:rsidRPr="007A3CB7">
        <w:rPr>
          <w:rFonts w:cstheme="minorHAnsi"/>
          <w:b/>
          <w:bCs/>
          <w:szCs w:val="22"/>
        </w:rPr>
        <w:t>KAZMUNAIGAZ FINA</w:t>
      </w:r>
      <w:r w:rsidRPr="007A3CB7">
        <w:rPr>
          <w:rFonts w:cstheme="minorHAnsi"/>
          <w:b/>
          <w:szCs w:val="22"/>
        </w:rPr>
        <w:t xml:space="preserve">NCE SUB B.V. ANNOUNCE ANY AND ALL CASH TENDER OFFER IN RESPECT OF THE U.S.$1,000,000,000 4.750% NOTES DUE 2027 </w:t>
      </w:r>
    </w:p>
    <w:p w14:paraId="0CD5B5F0" w14:textId="020CE106" w:rsidR="00BB1677" w:rsidRPr="00190E5F" w:rsidRDefault="00650FDA" w:rsidP="009B2B28">
      <w:pPr>
        <w:pStyle w:val="BodyText"/>
        <w:jc w:val="both"/>
        <w:rPr>
          <w:rFonts w:cstheme="minorHAnsi"/>
          <w:szCs w:val="22"/>
        </w:rPr>
      </w:pPr>
      <w:r>
        <w:rPr>
          <w:rFonts w:ascii="Times New Roman" w:hAnsi="Times New Roman" w:cs="Times New Roman"/>
          <w:szCs w:val="22"/>
        </w:rPr>
        <w:t>3</w:t>
      </w:r>
      <w:r w:rsidR="009D76D6">
        <w:rPr>
          <w:rFonts w:ascii="Times New Roman" w:hAnsi="Times New Roman" w:cs="Times New Roman"/>
          <w:szCs w:val="22"/>
        </w:rPr>
        <w:t xml:space="preserve"> September</w:t>
      </w:r>
      <w:r w:rsidR="007374A2">
        <w:rPr>
          <w:rFonts w:ascii="Times New Roman" w:hAnsi="Times New Roman" w:cs="Times New Roman"/>
          <w:szCs w:val="22"/>
        </w:rPr>
        <w:t xml:space="preserve"> </w:t>
      </w:r>
      <w:r w:rsidR="009D76D6">
        <w:rPr>
          <w:rFonts w:ascii="Times New Roman" w:hAnsi="Times New Roman" w:cs="Times New Roman"/>
          <w:szCs w:val="22"/>
        </w:rPr>
        <w:t>2024</w:t>
      </w:r>
    </w:p>
    <w:p w14:paraId="792A3918" w14:textId="6625679B" w:rsidR="00D36AF6" w:rsidRPr="00D36AF6" w:rsidRDefault="00237A4A" w:rsidP="00E91086">
      <w:pPr>
        <w:pStyle w:val="BodyText"/>
        <w:jc w:val="both"/>
        <w:rPr>
          <w:rFonts w:cstheme="minorHAnsi"/>
          <w:b/>
          <w:i/>
          <w:szCs w:val="22"/>
        </w:rPr>
      </w:pPr>
      <w:r w:rsidRPr="0067420E">
        <w:rPr>
          <w:rFonts w:cstheme="minorHAnsi"/>
          <w:szCs w:val="22"/>
        </w:rPr>
        <w:t>JSC NC “</w:t>
      </w:r>
      <w:proofErr w:type="spellStart"/>
      <w:r w:rsidRPr="0067420E">
        <w:rPr>
          <w:rFonts w:cstheme="minorHAnsi"/>
          <w:szCs w:val="22"/>
        </w:rPr>
        <w:t>K</w:t>
      </w:r>
      <w:r w:rsidR="004F566D">
        <w:rPr>
          <w:rFonts w:cstheme="minorHAnsi"/>
          <w:szCs w:val="22"/>
        </w:rPr>
        <w:t>az</w:t>
      </w:r>
      <w:r w:rsidR="00AE78AE">
        <w:rPr>
          <w:rFonts w:cstheme="minorHAnsi"/>
          <w:szCs w:val="22"/>
        </w:rPr>
        <w:t>M</w:t>
      </w:r>
      <w:r w:rsidR="004F566D">
        <w:rPr>
          <w:rFonts w:cstheme="minorHAnsi"/>
          <w:szCs w:val="22"/>
        </w:rPr>
        <w:t>unay</w:t>
      </w:r>
      <w:r w:rsidR="00AE78AE">
        <w:rPr>
          <w:rFonts w:cstheme="minorHAnsi"/>
          <w:szCs w:val="22"/>
        </w:rPr>
        <w:t>G</w:t>
      </w:r>
      <w:r w:rsidR="004F566D">
        <w:rPr>
          <w:rFonts w:cstheme="minorHAnsi"/>
          <w:szCs w:val="22"/>
        </w:rPr>
        <w:t>as</w:t>
      </w:r>
      <w:proofErr w:type="spellEnd"/>
      <w:r w:rsidRPr="0067420E">
        <w:rPr>
          <w:rFonts w:cstheme="minorHAnsi"/>
          <w:szCs w:val="22"/>
        </w:rPr>
        <w:t>”</w:t>
      </w:r>
      <w:r w:rsidR="00BC293E" w:rsidRPr="00190E5F">
        <w:rPr>
          <w:rFonts w:cstheme="minorHAnsi"/>
          <w:szCs w:val="22"/>
        </w:rPr>
        <w:t xml:space="preserve"> </w:t>
      </w:r>
      <w:r w:rsidR="00BB1677" w:rsidRPr="00190E5F">
        <w:rPr>
          <w:rFonts w:cstheme="minorHAnsi"/>
          <w:szCs w:val="22"/>
        </w:rPr>
        <w:t xml:space="preserve">(the </w:t>
      </w:r>
      <w:r w:rsidR="00CC0D42" w:rsidRPr="00190E5F">
        <w:rPr>
          <w:rFonts w:cstheme="minorHAnsi"/>
          <w:szCs w:val="22"/>
        </w:rPr>
        <w:t>“</w:t>
      </w:r>
      <w:r w:rsidR="007F7F91" w:rsidRPr="00190E5F">
        <w:rPr>
          <w:rFonts w:cstheme="minorHAnsi"/>
          <w:b/>
          <w:szCs w:val="22"/>
        </w:rPr>
        <w:t>Issuer</w:t>
      </w:r>
      <w:r w:rsidR="00CC0D42" w:rsidRPr="00190E5F">
        <w:rPr>
          <w:rFonts w:cstheme="minorHAnsi"/>
          <w:szCs w:val="22"/>
        </w:rPr>
        <w:t>”</w:t>
      </w:r>
      <w:r w:rsidR="00BB1677" w:rsidRPr="00190E5F">
        <w:rPr>
          <w:rFonts w:cstheme="minorHAnsi"/>
          <w:szCs w:val="22"/>
        </w:rPr>
        <w:t xml:space="preserve">) </w:t>
      </w:r>
      <w:r>
        <w:rPr>
          <w:rFonts w:cstheme="minorHAnsi"/>
          <w:szCs w:val="22"/>
        </w:rPr>
        <w:t xml:space="preserve">and </w:t>
      </w:r>
      <w:proofErr w:type="spellStart"/>
      <w:r w:rsidR="004F566D">
        <w:rPr>
          <w:rFonts w:cstheme="minorHAnsi"/>
          <w:szCs w:val="22"/>
        </w:rPr>
        <w:t>KazMunaiGaz</w:t>
      </w:r>
      <w:proofErr w:type="spellEnd"/>
      <w:r>
        <w:rPr>
          <w:rFonts w:cstheme="minorHAnsi"/>
          <w:szCs w:val="22"/>
        </w:rPr>
        <w:t xml:space="preserve"> </w:t>
      </w:r>
      <w:r w:rsidR="004F566D">
        <w:rPr>
          <w:rFonts w:cstheme="minorHAnsi"/>
          <w:szCs w:val="22"/>
        </w:rPr>
        <w:t>Finance Sub B.V.</w:t>
      </w:r>
      <w:r>
        <w:rPr>
          <w:rFonts w:cstheme="minorHAnsi"/>
          <w:szCs w:val="22"/>
        </w:rPr>
        <w:t xml:space="preserve"> (“</w:t>
      </w:r>
      <w:r w:rsidRPr="0067420E">
        <w:rPr>
          <w:rFonts w:cstheme="minorHAnsi"/>
          <w:b/>
          <w:szCs w:val="22"/>
        </w:rPr>
        <w:t>KMG Finance</w:t>
      </w:r>
      <w:r>
        <w:rPr>
          <w:rFonts w:cstheme="minorHAnsi"/>
          <w:szCs w:val="22"/>
        </w:rPr>
        <w:t>”</w:t>
      </w:r>
      <w:r w:rsidR="009551F9">
        <w:rPr>
          <w:rFonts w:cstheme="minorHAnsi"/>
          <w:szCs w:val="22"/>
        </w:rPr>
        <w:t xml:space="preserve"> and, together with the Issuer, the “</w:t>
      </w:r>
      <w:r w:rsidR="009551F9" w:rsidRPr="00E91086">
        <w:rPr>
          <w:rFonts w:cstheme="minorHAnsi"/>
          <w:b/>
          <w:bCs/>
          <w:szCs w:val="22"/>
        </w:rPr>
        <w:t>Offerors</w:t>
      </w:r>
      <w:r w:rsidR="009551F9">
        <w:rPr>
          <w:rFonts w:cstheme="minorHAnsi"/>
          <w:szCs w:val="22"/>
        </w:rPr>
        <w:t>”</w:t>
      </w:r>
      <w:r>
        <w:rPr>
          <w:rFonts w:cstheme="minorHAnsi"/>
          <w:szCs w:val="22"/>
        </w:rPr>
        <w:t xml:space="preserve">) </w:t>
      </w:r>
      <w:r w:rsidR="00BB1677" w:rsidRPr="00190E5F">
        <w:rPr>
          <w:rFonts w:cstheme="minorHAnsi"/>
          <w:szCs w:val="22"/>
        </w:rPr>
        <w:t>today announce</w:t>
      </w:r>
      <w:r>
        <w:rPr>
          <w:rFonts w:cstheme="minorHAnsi"/>
          <w:szCs w:val="22"/>
        </w:rPr>
        <w:t xml:space="preserve"> their</w:t>
      </w:r>
      <w:r w:rsidR="00BB1677" w:rsidRPr="00190E5F">
        <w:rPr>
          <w:rFonts w:cstheme="minorHAnsi"/>
          <w:szCs w:val="22"/>
        </w:rPr>
        <w:t xml:space="preserve"> invitation</w:t>
      </w:r>
      <w:r>
        <w:rPr>
          <w:rFonts w:cstheme="minorHAnsi"/>
          <w:szCs w:val="22"/>
        </w:rPr>
        <w:t>s</w:t>
      </w:r>
      <w:r w:rsidR="00BB1677" w:rsidRPr="00190E5F">
        <w:rPr>
          <w:rFonts w:cstheme="minorHAnsi"/>
          <w:szCs w:val="22"/>
        </w:rPr>
        <w:t xml:space="preserve"> to </w:t>
      </w:r>
      <w:r w:rsidR="001E0F21" w:rsidRPr="00190E5F">
        <w:rPr>
          <w:rFonts w:cstheme="minorHAnsi"/>
          <w:szCs w:val="22"/>
        </w:rPr>
        <w:t xml:space="preserve">each </w:t>
      </w:r>
      <w:r w:rsidR="00FA4031" w:rsidRPr="00190E5F">
        <w:rPr>
          <w:rFonts w:cstheme="minorHAnsi"/>
          <w:szCs w:val="22"/>
        </w:rPr>
        <w:t>h</w:t>
      </w:r>
      <w:r w:rsidR="001E0F21" w:rsidRPr="00190E5F">
        <w:rPr>
          <w:rFonts w:cstheme="minorHAnsi"/>
          <w:szCs w:val="22"/>
        </w:rPr>
        <w:t>older</w:t>
      </w:r>
      <w:r w:rsidR="00FA4031" w:rsidRPr="00190E5F">
        <w:rPr>
          <w:rFonts w:cstheme="minorHAnsi"/>
          <w:szCs w:val="22"/>
        </w:rPr>
        <w:t xml:space="preserve"> (the </w:t>
      </w:r>
      <w:r w:rsidR="00CC0D42" w:rsidRPr="00190E5F">
        <w:rPr>
          <w:rFonts w:cstheme="minorHAnsi"/>
          <w:szCs w:val="22"/>
        </w:rPr>
        <w:t>“</w:t>
      </w:r>
      <w:r w:rsidR="00FA4031" w:rsidRPr="00190E5F">
        <w:rPr>
          <w:rFonts w:cstheme="minorHAnsi"/>
          <w:b/>
          <w:szCs w:val="22"/>
        </w:rPr>
        <w:t>Holders</w:t>
      </w:r>
      <w:r w:rsidR="00CC0D42" w:rsidRPr="00190E5F">
        <w:rPr>
          <w:rFonts w:cstheme="minorHAnsi"/>
          <w:szCs w:val="22"/>
        </w:rPr>
        <w:t>”</w:t>
      </w:r>
      <w:r w:rsidR="00FA4031" w:rsidRPr="00190E5F">
        <w:rPr>
          <w:rFonts w:cstheme="minorHAnsi"/>
          <w:szCs w:val="22"/>
        </w:rPr>
        <w:t>)</w:t>
      </w:r>
      <w:r w:rsidR="001E0F21" w:rsidRPr="00190E5F">
        <w:rPr>
          <w:rFonts w:cstheme="minorHAnsi"/>
          <w:szCs w:val="22"/>
        </w:rPr>
        <w:t xml:space="preserve"> </w:t>
      </w:r>
      <w:r w:rsidR="00BB1677" w:rsidRPr="00190E5F">
        <w:rPr>
          <w:rFonts w:cstheme="minorHAnsi"/>
          <w:szCs w:val="22"/>
        </w:rPr>
        <w:t xml:space="preserve">(subject to </w:t>
      </w:r>
      <w:r w:rsidR="00D91C21" w:rsidRPr="00190E5F">
        <w:rPr>
          <w:rFonts w:cstheme="minorHAnsi"/>
          <w:szCs w:val="22"/>
        </w:rPr>
        <w:t xml:space="preserve">certain </w:t>
      </w:r>
      <w:r w:rsidR="00BB1677" w:rsidRPr="00190E5F">
        <w:rPr>
          <w:rFonts w:cstheme="minorHAnsi"/>
          <w:szCs w:val="22"/>
        </w:rPr>
        <w:t>offer</w:t>
      </w:r>
      <w:r w:rsidR="00D91C21" w:rsidRPr="00190E5F">
        <w:rPr>
          <w:rFonts w:cstheme="minorHAnsi"/>
          <w:szCs w:val="22"/>
        </w:rPr>
        <w:t xml:space="preserve"> and distribution</w:t>
      </w:r>
      <w:r w:rsidR="00BB1677" w:rsidRPr="00190E5F">
        <w:rPr>
          <w:rFonts w:cstheme="minorHAnsi"/>
          <w:szCs w:val="22"/>
        </w:rPr>
        <w:t xml:space="preserve"> restrictions)</w:t>
      </w:r>
      <w:r w:rsidR="00F23CF1">
        <w:rPr>
          <w:rFonts w:cstheme="minorHAnsi"/>
          <w:szCs w:val="22"/>
        </w:rPr>
        <w:t xml:space="preserve"> </w:t>
      </w:r>
      <w:r w:rsidR="00D666AF" w:rsidRPr="00190E5F">
        <w:rPr>
          <w:rFonts w:cstheme="minorHAnsi"/>
          <w:szCs w:val="22"/>
        </w:rPr>
        <w:t xml:space="preserve">to </w:t>
      </w:r>
      <w:r w:rsidR="00650FDA">
        <w:rPr>
          <w:rFonts w:cstheme="minorHAnsi"/>
          <w:szCs w:val="22"/>
        </w:rPr>
        <w:t xml:space="preserve">purchase for cash </w:t>
      </w:r>
      <w:r w:rsidR="00D666AF" w:rsidRPr="00190E5F">
        <w:rPr>
          <w:rFonts w:cstheme="minorHAnsi"/>
          <w:szCs w:val="22"/>
        </w:rPr>
        <w:t xml:space="preserve">any </w:t>
      </w:r>
      <w:r w:rsidR="00F23CF1">
        <w:rPr>
          <w:rFonts w:cstheme="minorHAnsi"/>
          <w:szCs w:val="22"/>
        </w:rPr>
        <w:t>and</w:t>
      </w:r>
      <w:r w:rsidR="00F23CF1" w:rsidRPr="00190E5F">
        <w:rPr>
          <w:rFonts w:cstheme="minorHAnsi"/>
          <w:szCs w:val="22"/>
        </w:rPr>
        <w:t xml:space="preserve"> </w:t>
      </w:r>
      <w:r w:rsidR="00D666AF" w:rsidRPr="00190E5F">
        <w:rPr>
          <w:rFonts w:cstheme="minorHAnsi"/>
          <w:szCs w:val="22"/>
        </w:rPr>
        <w:t xml:space="preserve">all of </w:t>
      </w:r>
      <w:r w:rsidR="00F845CE" w:rsidRPr="00F845CE">
        <w:rPr>
          <w:rFonts w:cstheme="minorHAnsi"/>
          <w:szCs w:val="22"/>
        </w:rPr>
        <w:t>the Issuer’s U.S.$1,000,000,000 4.750% Notes due 2027 (of which U.S.$1,000,000,000 in principal amount remains outstanding) (the “</w:t>
      </w:r>
      <w:r w:rsidR="00F845CE" w:rsidRPr="00E91086">
        <w:rPr>
          <w:rFonts w:cstheme="minorHAnsi"/>
          <w:b/>
          <w:bCs/>
          <w:szCs w:val="22"/>
        </w:rPr>
        <w:t>Notes</w:t>
      </w:r>
      <w:r w:rsidR="00F845CE" w:rsidRPr="00F845CE">
        <w:rPr>
          <w:rFonts w:cstheme="minorHAnsi"/>
          <w:szCs w:val="22"/>
        </w:rPr>
        <w:t>”)</w:t>
      </w:r>
      <w:r w:rsidR="00D666AF" w:rsidRPr="00190E5F">
        <w:rPr>
          <w:rFonts w:cstheme="minorHAnsi"/>
          <w:szCs w:val="22"/>
        </w:rPr>
        <w:t xml:space="preserve"> </w:t>
      </w:r>
      <w:r w:rsidR="007B5545" w:rsidRPr="00190E5F">
        <w:rPr>
          <w:rFonts w:cstheme="minorHAnsi"/>
          <w:szCs w:val="22"/>
        </w:rPr>
        <w:t xml:space="preserve">(the </w:t>
      </w:r>
      <w:r w:rsidR="00CC0D42" w:rsidRPr="00190E5F">
        <w:rPr>
          <w:rFonts w:cstheme="minorHAnsi"/>
          <w:szCs w:val="22"/>
        </w:rPr>
        <w:t>“</w:t>
      </w:r>
      <w:r w:rsidR="007B5545" w:rsidRPr="00190E5F">
        <w:rPr>
          <w:rFonts w:cstheme="minorHAnsi"/>
          <w:b/>
          <w:szCs w:val="22"/>
        </w:rPr>
        <w:t>Tender Offer</w:t>
      </w:r>
      <w:r w:rsidR="00CC0D42" w:rsidRPr="00190E5F">
        <w:rPr>
          <w:rFonts w:cstheme="minorHAnsi"/>
          <w:szCs w:val="22"/>
        </w:rPr>
        <w:t>”</w:t>
      </w:r>
      <w:r w:rsidR="007B5545" w:rsidRPr="00190E5F">
        <w:rPr>
          <w:rFonts w:cstheme="minorHAnsi"/>
          <w:szCs w:val="22"/>
        </w:rPr>
        <w:t>)</w:t>
      </w:r>
      <w:r w:rsidR="0033488F">
        <w:rPr>
          <w:rFonts w:cstheme="minorHAnsi"/>
          <w:szCs w:val="22"/>
        </w:rPr>
        <w:t>.</w:t>
      </w:r>
      <w:r w:rsidR="007B5545" w:rsidRPr="00190E5F">
        <w:rPr>
          <w:rFonts w:cstheme="minorHAnsi"/>
          <w:szCs w:val="22"/>
        </w:rPr>
        <w:t xml:space="preserve"> </w:t>
      </w:r>
    </w:p>
    <w:p w14:paraId="3973C5F8" w14:textId="6C70DBAB" w:rsidR="00BB1677" w:rsidRPr="00190E5F" w:rsidRDefault="00237A4A" w:rsidP="00AA61FF">
      <w:pPr>
        <w:pStyle w:val="BodyText"/>
        <w:jc w:val="both"/>
        <w:rPr>
          <w:rFonts w:cstheme="minorHAnsi"/>
          <w:b/>
          <w:i/>
          <w:szCs w:val="22"/>
        </w:rPr>
      </w:pPr>
      <w:r w:rsidRPr="00190E5F">
        <w:rPr>
          <w:rFonts w:cstheme="minorHAnsi"/>
          <w:szCs w:val="22"/>
        </w:rPr>
        <w:t xml:space="preserve">The </w:t>
      </w:r>
      <w:r w:rsidR="001279CD">
        <w:rPr>
          <w:rFonts w:cstheme="minorHAnsi"/>
          <w:szCs w:val="22"/>
        </w:rPr>
        <w:t xml:space="preserve">Tender </w:t>
      </w:r>
      <w:r w:rsidRPr="00190E5F">
        <w:rPr>
          <w:rFonts w:cstheme="minorHAnsi"/>
          <w:szCs w:val="22"/>
        </w:rPr>
        <w:t xml:space="preserve">Offer </w:t>
      </w:r>
      <w:r w:rsidR="001279CD">
        <w:rPr>
          <w:rFonts w:cstheme="minorHAnsi"/>
          <w:szCs w:val="22"/>
        </w:rPr>
        <w:t xml:space="preserve">is </w:t>
      </w:r>
      <w:r w:rsidRPr="00190E5F">
        <w:rPr>
          <w:rFonts w:cstheme="minorHAnsi"/>
          <w:szCs w:val="22"/>
        </w:rPr>
        <w:t>made</w:t>
      </w:r>
      <w:r w:rsidR="00D666AF" w:rsidRPr="00190E5F">
        <w:rPr>
          <w:rFonts w:cstheme="minorHAnsi"/>
          <w:szCs w:val="22"/>
        </w:rPr>
        <w:t xml:space="preserve"> on the terms and subject to the conditions set forth in the </w:t>
      </w:r>
      <w:r w:rsidR="006008DD">
        <w:rPr>
          <w:rFonts w:cstheme="minorHAnsi"/>
          <w:szCs w:val="22"/>
        </w:rPr>
        <w:t>offer to purchase</w:t>
      </w:r>
      <w:r w:rsidR="00D666AF" w:rsidRPr="00190E5F">
        <w:rPr>
          <w:rFonts w:cstheme="minorHAnsi"/>
          <w:szCs w:val="22"/>
        </w:rPr>
        <w:t xml:space="preserve"> dated </w:t>
      </w:r>
      <w:r w:rsidR="00650FDA">
        <w:rPr>
          <w:rFonts w:ascii="Times New Roman" w:hAnsi="Times New Roman" w:cs="Times New Roman"/>
          <w:szCs w:val="22"/>
        </w:rPr>
        <w:t>3</w:t>
      </w:r>
      <w:r w:rsidR="00E344C1">
        <w:rPr>
          <w:rFonts w:ascii="Times New Roman" w:hAnsi="Times New Roman" w:cs="Times New Roman"/>
          <w:szCs w:val="22"/>
        </w:rPr>
        <w:t xml:space="preserve"> September</w:t>
      </w:r>
      <w:r w:rsidR="001E465C">
        <w:rPr>
          <w:rFonts w:ascii="Times New Roman" w:hAnsi="Times New Roman" w:cs="Times New Roman"/>
          <w:szCs w:val="22"/>
        </w:rPr>
        <w:t xml:space="preserve"> 202</w:t>
      </w:r>
      <w:r w:rsidR="001141C5">
        <w:rPr>
          <w:rFonts w:ascii="Times New Roman" w:hAnsi="Times New Roman" w:cs="Times New Roman"/>
          <w:szCs w:val="22"/>
        </w:rPr>
        <w:t>4</w:t>
      </w:r>
      <w:r w:rsidR="00D666AF" w:rsidRPr="00190E5F">
        <w:rPr>
          <w:rFonts w:cstheme="minorHAnsi"/>
          <w:szCs w:val="22"/>
        </w:rPr>
        <w:t xml:space="preserve"> (the </w:t>
      </w:r>
      <w:r w:rsidR="00CC0D42" w:rsidRPr="00190E5F">
        <w:rPr>
          <w:rFonts w:cstheme="minorHAnsi"/>
          <w:szCs w:val="22"/>
        </w:rPr>
        <w:t>“</w:t>
      </w:r>
      <w:r w:rsidR="006008DD">
        <w:rPr>
          <w:rFonts w:cstheme="minorHAnsi"/>
          <w:b/>
          <w:szCs w:val="22"/>
        </w:rPr>
        <w:t>Offer to Purchase</w:t>
      </w:r>
      <w:r w:rsidR="00CC0D42" w:rsidRPr="00190E5F">
        <w:rPr>
          <w:rFonts w:cstheme="minorHAnsi"/>
          <w:szCs w:val="22"/>
        </w:rPr>
        <w:t>”</w:t>
      </w:r>
      <w:r w:rsidR="00D666AF" w:rsidRPr="00190E5F">
        <w:rPr>
          <w:rFonts w:cstheme="minorHAnsi"/>
          <w:szCs w:val="22"/>
        </w:rPr>
        <w:t>).</w:t>
      </w:r>
      <w:r w:rsidR="00BF0283" w:rsidRPr="00190E5F">
        <w:rPr>
          <w:rFonts w:cstheme="minorHAnsi"/>
          <w:szCs w:val="22"/>
        </w:rPr>
        <w:t xml:space="preserve"> </w:t>
      </w:r>
      <w:r w:rsidR="003E05B8" w:rsidRPr="00190E5F">
        <w:rPr>
          <w:rFonts w:cstheme="minorHAnsi"/>
          <w:szCs w:val="22"/>
        </w:rPr>
        <w:t xml:space="preserve">The </w:t>
      </w:r>
      <w:r w:rsidR="00AA61FF">
        <w:rPr>
          <w:rFonts w:cstheme="minorHAnsi"/>
          <w:szCs w:val="22"/>
        </w:rPr>
        <w:t xml:space="preserve">Tender </w:t>
      </w:r>
      <w:r w:rsidR="003E05B8" w:rsidRPr="00190E5F">
        <w:rPr>
          <w:rFonts w:cstheme="minorHAnsi"/>
          <w:szCs w:val="22"/>
        </w:rPr>
        <w:t>Offer</w:t>
      </w:r>
      <w:r w:rsidR="00C13EED">
        <w:rPr>
          <w:rFonts w:cstheme="minorHAnsi"/>
          <w:szCs w:val="22"/>
        </w:rPr>
        <w:t xml:space="preserve"> begin</w:t>
      </w:r>
      <w:r w:rsidR="0033488F">
        <w:rPr>
          <w:rFonts w:cstheme="minorHAnsi"/>
          <w:szCs w:val="22"/>
        </w:rPr>
        <w:t>s</w:t>
      </w:r>
      <w:r w:rsidR="003E05B8" w:rsidRPr="00190E5F">
        <w:rPr>
          <w:rFonts w:cstheme="minorHAnsi"/>
          <w:szCs w:val="22"/>
        </w:rPr>
        <w:t xml:space="preserve"> on </w:t>
      </w:r>
      <w:r w:rsidR="00650FDA">
        <w:rPr>
          <w:rFonts w:ascii="Times New Roman" w:hAnsi="Times New Roman" w:cs="Times New Roman"/>
          <w:szCs w:val="22"/>
        </w:rPr>
        <w:t>3</w:t>
      </w:r>
      <w:r w:rsidR="00E344C1">
        <w:rPr>
          <w:rFonts w:ascii="Times New Roman" w:hAnsi="Times New Roman" w:cs="Times New Roman"/>
          <w:szCs w:val="22"/>
        </w:rPr>
        <w:t xml:space="preserve"> September</w:t>
      </w:r>
      <w:r w:rsidR="001E465C">
        <w:rPr>
          <w:rFonts w:ascii="Times New Roman" w:hAnsi="Times New Roman" w:cs="Times New Roman"/>
          <w:szCs w:val="22"/>
        </w:rPr>
        <w:t xml:space="preserve"> 202</w:t>
      </w:r>
      <w:r w:rsidR="001141C5">
        <w:rPr>
          <w:rFonts w:ascii="Times New Roman" w:hAnsi="Times New Roman" w:cs="Times New Roman"/>
          <w:szCs w:val="22"/>
        </w:rPr>
        <w:t>4</w:t>
      </w:r>
      <w:r w:rsidR="001E465C">
        <w:rPr>
          <w:rFonts w:ascii="Times New Roman" w:hAnsi="Times New Roman" w:cs="Times New Roman"/>
          <w:szCs w:val="22"/>
        </w:rPr>
        <w:t xml:space="preserve"> </w:t>
      </w:r>
      <w:r w:rsidR="00B324E5" w:rsidRPr="00190E5F">
        <w:rPr>
          <w:rFonts w:cstheme="minorHAnsi"/>
          <w:szCs w:val="22"/>
        </w:rPr>
        <w:t xml:space="preserve">and will expire at </w:t>
      </w:r>
      <w:r w:rsidR="001141C5">
        <w:rPr>
          <w:rFonts w:cstheme="minorHAnsi"/>
          <w:szCs w:val="22"/>
        </w:rPr>
        <w:t>5:00</w:t>
      </w:r>
      <w:r w:rsidR="00AA61FF">
        <w:rPr>
          <w:rFonts w:cstheme="minorHAnsi"/>
          <w:szCs w:val="22"/>
        </w:rPr>
        <w:t xml:space="preserve"> </w:t>
      </w:r>
      <w:r w:rsidR="001141C5">
        <w:rPr>
          <w:rFonts w:cstheme="minorHAnsi"/>
          <w:szCs w:val="22"/>
        </w:rPr>
        <w:t>p</w:t>
      </w:r>
      <w:r w:rsidR="00AA61FF">
        <w:rPr>
          <w:rFonts w:cstheme="minorHAnsi"/>
          <w:szCs w:val="22"/>
        </w:rPr>
        <w:t>.m.</w:t>
      </w:r>
      <w:r w:rsidR="003E05B8" w:rsidRPr="00190E5F">
        <w:rPr>
          <w:rFonts w:cstheme="minorHAnsi"/>
          <w:szCs w:val="22"/>
        </w:rPr>
        <w:t xml:space="preserve"> (</w:t>
      </w:r>
      <w:r w:rsidR="001141C5">
        <w:rPr>
          <w:rFonts w:cstheme="minorHAnsi"/>
          <w:szCs w:val="22"/>
        </w:rPr>
        <w:t>New York City</w:t>
      </w:r>
      <w:r w:rsidR="001141C5" w:rsidRPr="00190E5F">
        <w:rPr>
          <w:rFonts w:cstheme="minorHAnsi"/>
          <w:szCs w:val="22"/>
        </w:rPr>
        <w:t xml:space="preserve"> </w:t>
      </w:r>
      <w:r w:rsidR="003E05B8" w:rsidRPr="00190E5F">
        <w:rPr>
          <w:rFonts w:cstheme="minorHAnsi"/>
          <w:szCs w:val="22"/>
        </w:rPr>
        <w:t>time) on</w:t>
      </w:r>
      <w:r w:rsidR="00363EE5">
        <w:rPr>
          <w:rFonts w:cstheme="minorHAnsi"/>
          <w:szCs w:val="22"/>
        </w:rPr>
        <w:t xml:space="preserve"> </w:t>
      </w:r>
      <w:r w:rsidR="001141C5">
        <w:rPr>
          <w:rFonts w:ascii="Times New Roman" w:hAnsi="Times New Roman" w:cs="Times New Roman"/>
          <w:szCs w:val="22"/>
        </w:rPr>
        <w:t xml:space="preserve">10 September </w:t>
      </w:r>
      <w:r w:rsidR="001E465C">
        <w:rPr>
          <w:rFonts w:ascii="Times New Roman" w:hAnsi="Times New Roman" w:cs="Times New Roman"/>
          <w:szCs w:val="22"/>
        </w:rPr>
        <w:t>202</w:t>
      </w:r>
      <w:r w:rsidR="001141C5">
        <w:rPr>
          <w:rFonts w:ascii="Times New Roman" w:hAnsi="Times New Roman" w:cs="Times New Roman"/>
          <w:szCs w:val="22"/>
        </w:rPr>
        <w:t>4</w:t>
      </w:r>
      <w:r w:rsidR="00DE6625">
        <w:rPr>
          <w:rFonts w:cstheme="minorHAnsi"/>
          <w:szCs w:val="22"/>
        </w:rPr>
        <w:t xml:space="preserve"> </w:t>
      </w:r>
      <w:r w:rsidR="00B324E5" w:rsidRPr="00190E5F">
        <w:rPr>
          <w:rFonts w:cstheme="minorHAnsi"/>
          <w:szCs w:val="22"/>
        </w:rPr>
        <w:t xml:space="preserve">(the </w:t>
      </w:r>
      <w:r w:rsidR="00CC0D42" w:rsidRPr="00190E5F">
        <w:rPr>
          <w:rFonts w:cstheme="minorHAnsi"/>
          <w:szCs w:val="22"/>
        </w:rPr>
        <w:t>“</w:t>
      </w:r>
      <w:r w:rsidR="00B324E5" w:rsidRPr="00190E5F">
        <w:rPr>
          <w:rFonts w:cstheme="minorHAnsi"/>
          <w:b/>
          <w:szCs w:val="22"/>
        </w:rPr>
        <w:t>Expiration Deadline</w:t>
      </w:r>
      <w:r w:rsidR="00CC0D42" w:rsidRPr="00190E5F">
        <w:rPr>
          <w:rFonts w:cstheme="minorHAnsi"/>
          <w:szCs w:val="22"/>
        </w:rPr>
        <w:t>”</w:t>
      </w:r>
      <w:r w:rsidR="00B324E5" w:rsidRPr="00190E5F">
        <w:rPr>
          <w:rFonts w:cstheme="minorHAnsi"/>
          <w:szCs w:val="22"/>
        </w:rPr>
        <w:t>)</w:t>
      </w:r>
      <w:r w:rsidR="00DE6625">
        <w:rPr>
          <w:rFonts w:cstheme="minorHAnsi"/>
          <w:szCs w:val="22"/>
        </w:rPr>
        <w:t xml:space="preserve"> </w:t>
      </w:r>
      <w:r w:rsidR="00DE6625" w:rsidRPr="00190E5F">
        <w:rPr>
          <w:rFonts w:cstheme="minorHAnsi"/>
          <w:szCs w:val="22"/>
        </w:rPr>
        <w:t>unless extended or earlier terminated</w:t>
      </w:r>
      <w:r w:rsidR="00DE6625">
        <w:rPr>
          <w:rFonts w:cstheme="minorHAnsi"/>
          <w:szCs w:val="22"/>
        </w:rPr>
        <w:t xml:space="preserve"> at the sole discretion of the Offerors </w:t>
      </w:r>
      <w:r w:rsidR="00DE6625" w:rsidRPr="00190E5F">
        <w:rPr>
          <w:rFonts w:cstheme="minorHAnsi"/>
          <w:szCs w:val="22"/>
        </w:rPr>
        <w:t xml:space="preserve">as described in the </w:t>
      </w:r>
      <w:r w:rsidR="00DE6625">
        <w:rPr>
          <w:rFonts w:cstheme="minorHAnsi"/>
          <w:szCs w:val="22"/>
        </w:rPr>
        <w:t xml:space="preserve">Offer to Purchase. </w:t>
      </w:r>
    </w:p>
    <w:p w14:paraId="297E87F9" w14:textId="2498CAD1" w:rsidR="00BB1677" w:rsidRDefault="00237A4A" w:rsidP="00B324E5">
      <w:pPr>
        <w:pStyle w:val="BodyText"/>
        <w:jc w:val="both"/>
        <w:rPr>
          <w:rFonts w:cstheme="minorHAnsi"/>
          <w:color w:val="auto"/>
          <w:szCs w:val="22"/>
        </w:rPr>
      </w:pPr>
      <w:r w:rsidRPr="00190E5F">
        <w:rPr>
          <w:rFonts w:cstheme="minorHAnsi"/>
          <w:szCs w:val="22"/>
        </w:rPr>
        <w:t xml:space="preserve">Copies of the </w:t>
      </w:r>
      <w:r w:rsidR="006008DD">
        <w:rPr>
          <w:rFonts w:cstheme="minorHAnsi"/>
          <w:szCs w:val="22"/>
        </w:rPr>
        <w:t>Offer to Purchase</w:t>
      </w:r>
      <w:r w:rsidR="006008DD" w:rsidRPr="00190E5F">
        <w:rPr>
          <w:rFonts w:cstheme="minorHAnsi"/>
          <w:szCs w:val="22"/>
        </w:rPr>
        <w:t xml:space="preserve"> </w:t>
      </w:r>
      <w:r w:rsidR="00B15CD6">
        <w:rPr>
          <w:rFonts w:cstheme="minorHAnsi"/>
          <w:szCs w:val="22"/>
        </w:rPr>
        <w:t xml:space="preserve">and the </w:t>
      </w:r>
      <w:r w:rsidR="00836C2A">
        <w:rPr>
          <w:rFonts w:cstheme="minorHAnsi"/>
          <w:szCs w:val="22"/>
        </w:rPr>
        <w:t xml:space="preserve">notice of guaranteed delivery </w:t>
      </w:r>
      <w:r w:rsidRPr="00190E5F">
        <w:rPr>
          <w:rFonts w:cstheme="minorHAnsi"/>
          <w:szCs w:val="22"/>
        </w:rPr>
        <w:t xml:space="preserve">are available </w:t>
      </w:r>
      <w:r w:rsidR="00B15CD6">
        <w:rPr>
          <w:rFonts w:cstheme="minorHAnsi"/>
          <w:szCs w:val="22"/>
        </w:rPr>
        <w:t xml:space="preserve">to eligible persons upon request </w:t>
      </w:r>
      <w:r w:rsidRPr="00190E5F">
        <w:rPr>
          <w:rFonts w:cstheme="minorHAnsi"/>
          <w:szCs w:val="22"/>
        </w:rPr>
        <w:t xml:space="preserve">from the </w:t>
      </w:r>
      <w:r w:rsidR="004C18A0" w:rsidRPr="00190E5F">
        <w:rPr>
          <w:rFonts w:cstheme="minorHAnsi"/>
          <w:szCs w:val="22"/>
        </w:rPr>
        <w:t xml:space="preserve">Tender and </w:t>
      </w:r>
      <w:r w:rsidR="008C4839">
        <w:rPr>
          <w:rFonts w:cstheme="minorHAnsi"/>
          <w:szCs w:val="22"/>
        </w:rPr>
        <w:t>Information</w:t>
      </w:r>
      <w:r w:rsidR="008C4839" w:rsidRPr="00190E5F">
        <w:rPr>
          <w:rFonts w:cstheme="minorHAnsi"/>
          <w:szCs w:val="22"/>
        </w:rPr>
        <w:t xml:space="preserve"> </w:t>
      </w:r>
      <w:r w:rsidR="004C18A0" w:rsidRPr="00190E5F">
        <w:rPr>
          <w:rFonts w:cstheme="minorHAnsi"/>
          <w:szCs w:val="22"/>
        </w:rPr>
        <w:t>Agent</w:t>
      </w:r>
      <w:r w:rsidRPr="00190E5F">
        <w:rPr>
          <w:rFonts w:cstheme="minorHAnsi"/>
          <w:szCs w:val="22"/>
        </w:rPr>
        <w:t xml:space="preserve"> as set out below. </w:t>
      </w:r>
      <w:r w:rsidRPr="00AA61FF">
        <w:rPr>
          <w:rFonts w:cstheme="minorHAnsi"/>
          <w:color w:val="auto"/>
          <w:szCs w:val="22"/>
        </w:rPr>
        <w:t xml:space="preserve">Capitalised terms used in this announcement but not defined </w:t>
      </w:r>
      <w:r w:rsidR="008D2798" w:rsidRPr="00AA61FF">
        <w:rPr>
          <w:rFonts w:cstheme="minorHAnsi"/>
          <w:color w:val="auto"/>
          <w:szCs w:val="22"/>
        </w:rPr>
        <w:t xml:space="preserve">herein </w:t>
      </w:r>
      <w:r w:rsidRPr="00AA61FF">
        <w:rPr>
          <w:rFonts w:cstheme="minorHAnsi"/>
          <w:color w:val="auto"/>
          <w:szCs w:val="22"/>
        </w:rPr>
        <w:t xml:space="preserve">have the meaning given to them in the </w:t>
      </w:r>
      <w:r w:rsidR="006008DD">
        <w:rPr>
          <w:rFonts w:cstheme="minorHAnsi"/>
          <w:color w:val="auto"/>
          <w:szCs w:val="22"/>
        </w:rPr>
        <w:t>Offer to Purchase</w:t>
      </w:r>
      <w:r w:rsidRPr="00AA61FF">
        <w:rPr>
          <w:rFonts w:cstheme="minorHAnsi"/>
          <w:color w:val="auto"/>
          <w:szCs w:val="22"/>
        </w:rPr>
        <w:t>.</w:t>
      </w:r>
    </w:p>
    <w:p w14:paraId="11B1BC2E" w14:textId="498AFD8F" w:rsidR="009155BE" w:rsidRPr="00AA61FF" w:rsidRDefault="009155BE" w:rsidP="00B324E5">
      <w:pPr>
        <w:pStyle w:val="BodyText"/>
        <w:jc w:val="both"/>
        <w:rPr>
          <w:rFonts w:cstheme="minorHAnsi"/>
          <w:color w:val="auto"/>
          <w:szCs w:val="22"/>
        </w:rPr>
      </w:pPr>
      <w:r>
        <w:rPr>
          <w:rFonts w:cstheme="minorHAnsi"/>
          <w:color w:val="auto"/>
          <w:szCs w:val="22"/>
        </w:rPr>
        <w:t xml:space="preserve">The following table sets forth details of the Tender Offer: </w:t>
      </w:r>
    </w:p>
    <w:tbl>
      <w:tblPr>
        <w:tblStyle w:val="TableGrid"/>
        <w:tblW w:w="5340" w:type="pct"/>
        <w:tblInd w:w="-284" w:type="dxa"/>
        <w:tblBorders>
          <w:top w:val="nil"/>
          <w:left w:val="nil"/>
          <w:bottom w:val="nil"/>
          <w:right w:val="nil"/>
          <w:insideH w:val="nil"/>
          <w:insideV w:val="nil"/>
        </w:tblBorders>
        <w:tblLayout w:type="fixed"/>
        <w:tblCellMar>
          <w:left w:w="115" w:type="dxa"/>
          <w:right w:w="115" w:type="dxa"/>
        </w:tblCellMar>
        <w:tblLook w:val="04A0" w:firstRow="1" w:lastRow="0" w:firstColumn="1" w:lastColumn="0" w:noHBand="0" w:noVBand="1"/>
      </w:tblPr>
      <w:tblGrid>
        <w:gridCol w:w="1275"/>
        <w:gridCol w:w="2692"/>
        <w:gridCol w:w="1953"/>
        <w:gridCol w:w="1816"/>
        <w:gridCol w:w="1905"/>
      </w:tblGrid>
      <w:tr w:rsidR="00391175" w:rsidRPr="00A118E8" w14:paraId="56332A2F" w14:textId="62789661" w:rsidTr="00A118E8">
        <w:trPr>
          <w:trHeight w:val="640"/>
          <w:tblHeader/>
        </w:trPr>
        <w:tc>
          <w:tcPr>
            <w:tcW w:w="1274" w:type="dxa"/>
            <w:tcBorders>
              <w:bottom w:val="single" w:sz="4" w:space="0" w:color="auto"/>
            </w:tcBorders>
            <w:vAlign w:val="bottom"/>
          </w:tcPr>
          <w:p w14:paraId="446BA931" w14:textId="77777777" w:rsidR="00391175" w:rsidRPr="00A118E8" w:rsidRDefault="00391175" w:rsidP="00AA61FF">
            <w:pPr>
              <w:pStyle w:val="wText"/>
              <w:keepNext/>
              <w:spacing w:after="0"/>
              <w:jc w:val="left"/>
              <w:rPr>
                <w:sz w:val="18"/>
                <w:szCs w:val="18"/>
              </w:rPr>
            </w:pPr>
            <w:r w:rsidRPr="00A118E8">
              <w:rPr>
                <w:b/>
                <w:sz w:val="18"/>
                <w:szCs w:val="18"/>
              </w:rPr>
              <w:t>Description of the Notes</w:t>
            </w:r>
          </w:p>
        </w:tc>
        <w:tc>
          <w:tcPr>
            <w:tcW w:w="2692" w:type="dxa"/>
            <w:tcBorders>
              <w:bottom w:val="single" w:sz="4" w:space="0" w:color="auto"/>
            </w:tcBorders>
            <w:vAlign w:val="bottom"/>
          </w:tcPr>
          <w:p w14:paraId="714683FB" w14:textId="11891D1A" w:rsidR="00391175" w:rsidRPr="00A118E8" w:rsidRDefault="00391175" w:rsidP="00AA61FF">
            <w:pPr>
              <w:pStyle w:val="wText"/>
              <w:keepNext/>
              <w:spacing w:after="0"/>
              <w:jc w:val="left"/>
              <w:rPr>
                <w:sz w:val="18"/>
                <w:szCs w:val="18"/>
              </w:rPr>
            </w:pPr>
            <w:r w:rsidRPr="00A118E8">
              <w:rPr>
                <w:b/>
                <w:sz w:val="18"/>
                <w:szCs w:val="18"/>
              </w:rPr>
              <w:t>ISIN/ CUSIP</w:t>
            </w:r>
            <w:r w:rsidR="00836C2A" w:rsidRPr="00A118E8">
              <w:rPr>
                <w:b/>
                <w:sz w:val="18"/>
                <w:szCs w:val="18"/>
              </w:rPr>
              <w:t>/Common Code</w:t>
            </w:r>
          </w:p>
        </w:tc>
        <w:tc>
          <w:tcPr>
            <w:tcW w:w="1953" w:type="dxa"/>
            <w:tcBorders>
              <w:bottom w:val="single" w:sz="4" w:space="0" w:color="auto"/>
            </w:tcBorders>
            <w:vAlign w:val="bottom"/>
          </w:tcPr>
          <w:p w14:paraId="39422374" w14:textId="77777777" w:rsidR="00391175" w:rsidRPr="00A118E8" w:rsidRDefault="00391175" w:rsidP="00AA61FF">
            <w:pPr>
              <w:pStyle w:val="wText"/>
              <w:keepNext/>
              <w:spacing w:after="0"/>
              <w:jc w:val="left"/>
              <w:rPr>
                <w:sz w:val="18"/>
                <w:szCs w:val="18"/>
              </w:rPr>
            </w:pPr>
            <w:r w:rsidRPr="00A118E8">
              <w:rPr>
                <w:b/>
                <w:sz w:val="18"/>
                <w:szCs w:val="18"/>
              </w:rPr>
              <w:t>Outstanding Principal Amount</w:t>
            </w:r>
          </w:p>
        </w:tc>
        <w:tc>
          <w:tcPr>
            <w:tcW w:w="1816" w:type="dxa"/>
            <w:tcBorders>
              <w:bottom w:val="single" w:sz="4" w:space="0" w:color="auto"/>
            </w:tcBorders>
            <w:vAlign w:val="bottom"/>
          </w:tcPr>
          <w:p w14:paraId="3956E8F1" w14:textId="2E795604" w:rsidR="00391175" w:rsidRPr="00A118E8" w:rsidRDefault="00391175" w:rsidP="00AA61FF">
            <w:pPr>
              <w:pStyle w:val="wText"/>
              <w:keepNext/>
              <w:spacing w:after="0"/>
              <w:jc w:val="left"/>
              <w:rPr>
                <w:sz w:val="18"/>
                <w:szCs w:val="18"/>
              </w:rPr>
            </w:pPr>
            <w:r w:rsidRPr="00A118E8">
              <w:rPr>
                <w:b/>
                <w:sz w:val="20"/>
                <w:szCs w:val="28"/>
              </w:rPr>
              <w:t>Tender</w:t>
            </w:r>
            <w:r w:rsidRPr="00A118E8">
              <w:rPr>
                <w:spacing w:val="-5"/>
                <w:sz w:val="20"/>
                <w:szCs w:val="28"/>
              </w:rPr>
              <w:t xml:space="preserve"> </w:t>
            </w:r>
            <w:r w:rsidRPr="00A118E8">
              <w:rPr>
                <w:b/>
                <w:spacing w:val="-2"/>
                <w:sz w:val="20"/>
                <w:szCs w:val="28"/>
              </w:rPr>
              <w:t xml:space="preserve">Offer </w:t>
            </w:r>
            <w:proofErr w:type="gramStart"/>
            <w:r w:rsidRPr="00A118E8">
              <w:rPr>
                <w:b/>
                <w:spacing w:val="-2"/>
                <w:sz w:val="20"/>
                <w:szCs w:val="28"/>
              </w:rPr>
              <w:t>Consideration</w:t>
            </w:r>
            <w:r w:rsidRPr="00A118E8">
              <w:rPr>
                <w:b/>
                <w:spacing w:val="-2"/>
                <w:sz w:val="20"/>
                <w:szCs w:val="28"/>
                <w:vertAlign w:val="superscript"/>
              </w:rPr>
              <w:t>(</w:t>
            </w:r>
            <w:proofErr w:type="gramEnd"/>
            <w:r w:rsidRPr="00A118E8">
              <w:rPr>
                <w:b/>
                <w:spacing w:val="-2"/>
                <w:sz w:val="20"/>
                <w:szCs w:val="28"/>
                <w:vertAlign w:val="superscript"/>
              </w:rPr>
              <w:t>1)(2)</w:t>
            </w:r>
          </w:p>
        </w:tc>
        <w:tc>
          <w:tcPr>
            <w:tcW w:w="1905" w:type="dxa"/>
            <w:tcBorders>
              <w:bottom w:val="single" w:sz="4" w:space="0" w:color="auto"/>
            </w:tcBorders>
          </w:tcPr>
          <w:p w14:paraId="472DFCCD" w14:textId="56154CC5" w:rsidR="00391175" w:rsidRPr="00A118E8" w:rsidRDefault="00391175" w:rsidP="00AA61FF">
            <w:pPr>
              <w:pStyle w:val="wText"/>
              <w:keepNext/>
              <w:spacing w:after="0"/>
              <w:jc w:val="left"/>
              <w:rPr>
                <w:b/>
                <w:sz w:val="20"/>
                <w:szCs w:val="28"/>
              </w:rPr>
            </w:pPr>
            <w:r w:rsidRPr="00A118E8">
              <w:rPr>
                <w:b/>
                <w:sz w:val="20"/>
                <w:szCs w:val="28"/>
              </w:rPr>
              <w:t>Amount subject to the Tender Offer</w:t>
            </w:r>
          </w:p>
        </w:tc>
      </w:tr>
      <w:tr w:rsidR="00391175" w:rsidRPr="00A118E8" w14:paraId="7860135E" w14:textId="4A481E16" w:rsidTr="00A118E8">
        <w:trPr>
          <w:trHeight w:val="714"/>
        </w:trPr>
        <w:tc>
          <w:tcPr>
            <w:tcW w:w="1274" w:type="dxa"/>
            <w:tcBorders>
              <w:top w:val="single" w:sz="4" w:space="0" w:color="auto"/>
              <w:bottom w:val="nil"/>
            </w:tcBorders>
          </w:tcPr>
          <w:p w14:paraId="03E6359A" w14:textId="44C6E965" w:rsidR="00391175" w:rsidRPr="00A118E8" w:rsidRDefault="00827C26" w:rsidP="001E465C">
            <w:pPr>
              <w:pStyle w:val="wText"/>
              <w:jc w:val="left"/>
              <w:rPr>
                <w:sz w:val="18"/>
                <w:szCs w:val="18"/>
              </w:rPr>
            </w:pPr>
            <w:r w:rsidRPr="009C6B1B">
              <w:rPr>
                <w:rFonts w:cstheme="minorHAnsi"/>
                <w:sz w:val="18"/>
                <w:szCs w:val="18"/>
              </w:rPr>
              <w:t>U.S.$1,000,000,000 4.750% Notes due 2027</w:t>
            </w:r>
            <w:r>
              <w:rPr>
                <w:rFonts w:cstheme="minorHAnsi"/>
                <w:sz w:val="18"/>
                <w:szCs w:val="18"/>
              </w:rPr>
              <w:t xml:space="preserve"> issued by </w:t>
            </w:r>
            <w:r w:rsidRPr="009C6B1B">
              <w:rPr>
                <w:rFonts w:cstheme="minorHAnsi"/>
                <w:sz w:val="18"/>
                <w:szCs w:val="18"/>
              </w:rPr>
              <w:t>JSC NC “</w:t>
            </w:r>
            <w:proofErr w:type="spellStart"/>
            <w:r w:rsidRPr="009C6B1B">
              <w:rPr>
                <w:rFonts w:cstheme="minorHAnsi"/>
                <w:sz w:val="18"/>
                <w:szCs w:val="18"/>
              </w:rPr>
              <w:t>KazMunayGas</w:t>
            </w:r>
            <w:proofErr w:type="spellEnd"/>
            <w:r w:rsidRPr="009C6B1B">
              <w:rPr>
                <w:rFonts w:cstheme="minorHAnsi"/>
                <w:sz w:val="18"/>
                <w:szCs w:val="18"/>
              </w:rPr>
              <w:t>”</w:t>
            </w:r>
            <w:r w:rsidRPr="00190E5F">
              <w:rPr>
                <w:rFonts w:cstheme="minorHAnsi"/>
              </w:rPr>
              <w:t xml:space="preserve"> </w:t>
            </w:r>
          </w:p>
        </w:tc>
        <w:tc>
          <w:tcPr>
            <w:tcW w:w="2692" w:type="dxa"/>
            <w:tcBorders>
              <w:top w:val="single" w:sz="4" w:space="0" w:color="auto"/>
              <w:bottom w:val="nil"/>
            </w:tcBorders>
          </w:tcPr>
          <w:p w14:paraId="495E35EA" w14:textId="427E1499" w:rsidR="00391175" w:rsidRPr="00A118E8" w:rsidRDefault="00391175" w:rsidP="001E465C">
            <w:pPr>
              <w:pStyle w:val="wText"/>
              <w:spacing w:before="0" w:after="0"/>
              <w:jc w:val="left"/>
              <w:rPr>
                <w:sz w:val="18"/>
                <w:szCs w:val="18"/>
              </w:rPr>
            </w:pPr>
            <w:r w:rsidRPr="00A118E8">
              <w:rPr>
                <w:sz w:val="18"/>
                <w:szCs w:val="18"/>
              </w:rPr>
              <w:t>Regulation S ISIN: XS1595713782</w:t>
            </w:r>
            <w:r w:rsidRPr="00A118E8">
              <w:rPr>
                <w:sz w:val="18"/>
                <w:szCs w:val="18"/>
              </w:rPr>
              <w:br/>
              <w:t xml:space="preserve">Regulation S Common Code: </w:t>
            </w:r>
            <w:bookmarkStart w:id="1" w:name="_Hlk175757733"/>
            <w:r w:rsidRPr="00A118E8">
              <w:rPr>
                <w:sz w:val="18"/>
                <w:szCs w:val="18"/>
              </w:rPr>
              <w:t>159571378</w:t>
            </w:r>
            <w:bookmarkEnd w:id="1"/>
            <w:r w:rsidRPr="00A118E8">
              <w:rPr>
                <w:sz w:val="18"/>
                <w:szCs w:val="18"/>
              </w:rPr>
              <w:br/>
              <w:t>Rule 144A ISIN: US48667QAN51</w:t>
            </w:r>
            <w:r w:rsidRPr="00A118E8">
              <w:rPr>
                <w:sz w:val="18"/>
                <w:szCs w:val="18"/>
              </w:rPr>
              <w:br/>
              <w:t>Rule 144A CUSIP: 48667QAN5</w:t>
            </w:r>
            <w:r w:rsidRPr="00A118E8">
              <w:rPr>
                <w:sz w:val="18"/>
                <w:szCs w:val="18"/>
              </w:rPr>
              <w:br/>
              <w:t>Rule 144A Common Code: 159943038</w:t>
            </w:r>
          </w:p>
        </w:tc>
        <w:tc>
          <w:tcPr>
            <w:tcW w:w="1953" w:type="dxa"/>
            <w:tcBorders>
              <w:top w:val="single" w:sz="4" w:space="0" w:color="auto"/>
              <w:bottom w:val="nil"/>
            </w:tcBorders>
          </w:tcPr>
          <w:p w14:paraId="3E471E0F" w14:textId="6F3A5165" w:rsidR="00391175" w:rsidRPr="00A118E8" w:rsidRDefault="00391175" w:rsidP="001E465C">
            <w:pPr>
              <w:pStyle w:val="wText"/>
              <w:jc w:val="left"/>
              <w:rPr>
                <w:sz w:val="18"/>
                <w:szCs w:val="18"/>
              </w:rPr>
            </w:pPr>
            <w:r w:rsidRPr="00A118E8">
              <w:rPr>
                <w:sz w:val="18"/>
                <w:szCs w:val="18"/>
              </w:rPr>
              <w:t>U.S.$1,000,000,000</w:t>
            </w:r>
          </w:p>
        </w:tc>
        <w:tc>
          <w:tcPr>
            <w:tcW w:w="1816" w:type="dxa"/>
            <w:tcBorders>
              <w:top w:val="single" w:sz="4" w:space="0" w:color="auto"/>
              <w:bottom w:val="nil"/>
            </w:tcBorders>
          </w:tcPr>
          <w:p w14:paraId="49590D4D" w14:textId="5E6DC681" w:rsidR="00391175" w:rsidRPr="00A118E8" w:rsidRDefault="00391175" w:rsidP="00266846">
            <w:pPr>
              <w:pStyle w:val="wText"/>
              <w:jc w:val="left"/>
              <w:rPr>
                <w:sz w:val="18"/>
                <w:szCs w:val="18"/>
              </w:rPr>
            </w:pPr>
            <w:r w:rsidRPr="00A118E8">
              <w:rPr>
                <w:sz w:val="18"/>
                <w:szCs w:val="18"/>
              </w:rPr>
              <w:t>U.S.$</w:t>
            </w:r>
            <w:r w:rsidR="00363EE5">
              <w:rPr>
                <w:sz w:val="18"/>
                <w:szCs w:val="18"/>
              </w:rPr>
              <w:t>1,000</w:t>
            </w:r>
          </w:p>
        </w:tc>
        <w:tc>
          <w:tcPr>
            <w:tcW w:w="1905" w:type="dxa"/>
            <w:tcBorders>
              <w:top w:val="single" w:sz="4" w:space="0" w:color="auto"/>
              <w:bottom w:val="nil"/>
            </w:tcBorders>
          </w:tcPr>
          <w:p w14:paraId="4BB7151F" w14:textId="43B8BFCC" w:rsidR="00391175" w:rsidRPr="00A118E8" w:rsidRDefault="00391175" w:rsidP="00266846">
            <w:pPr>
              <w:pStyle w:val="wText"/>
              <w:jc w:val="left"/>
              <w:rPr>
                <w:sz w:val="18"/>
                <w:szCs w:val="18"/>
              </w:rPr>
            </w:pPr>
            <w:proofErr w:type="gramStart"/>
            <w:r w:rsidRPr="00A118E8">
              <w:rPr>
                <w:sz w:val="18"/>
                <w:szCs w:val="18"/>
              </w:rPr>
              <w:t>Any and all</w:t>
            </w:r>
            <w:proofErr w:type="gramEnd"/>
          </w:p>
        </w:tc>
      </w:tr>
    </w:tbl>
    <w:p w14:paraId="218DB399" w14:textId="77777777" w:rsidR="00391175" w:rsidRPr="00A118E8" w:rsidRDefault="00391175" w:rsidP="00237A4A">
      <w:pPr>
        <w:pStyle w:val="wTableFN6"/>
        <w:ind w:left="0" w:firstLine="0"/>
        <w:rPr>
          <w:sz w:val="16"/>
          <w:szCs w:val="28"/>
        </w:rPr>
      </w:pPr>
      <w:r w:rsidRPr="00A118E8">
        <w:rPr>
          <w:sz w:val="16"/>
          <w:szCs w:val="28"/>
        </w:rPr>
        <w:t>__________________________________</w:t>
      </w:r>
    </w:p>
    <w:p w14:paraId="7F319E96" w14:textId="0F4434AB" w:rsidR="00391175" w:rsidRPr="00A118E8" w:rsidRDefault="00391175" w:rsidP="00391175">
      <w:pPr>
        <w:pStyle w:val="wTableFN6"/>
        <w:rPr>
          <w:spacing w:val="-4"/>
          <w:sz w:val="18"/>
          <w:szCs w:val="28"/>
        </w:rPr>
      </w:pPr>
      <w:r w:rsidRPr="00A118E8">
        <w:rPr>
          <w:sz w:val="18"/>
          <w:szCs w:val="28"/>
        </w:rPr>
        <w:t>(1)</w:t>
      </w:r>
      <w:r w:rsidRPr="00A118E8">
        <w:rPr>
          <w:sz w:val="18"/>
          <w:szCs w:val="28"/>
        </w:rPr>
        <w:tab/>
        <w:t>Excludes</w:t>
      </w:r>
      <w:r w:rsidRPr="00A118E8">
        <w:rPr>
          <w:spacing w:val="-4"/>
          <w:sz w:val="18"/>
          <w:szCs w:val="28"/>
        </w:rPr>
        <w:t xml:space="preserve"> </w:t>
      </w:r>
      <w:r w:rsidRPr="00A118E8">
        <w:rPr>
          <w:sz w:val="18"/>
          <w:szCs w:val="28"/>
        </w:rPr>
        <w:t>Accrued</w:t>
      </w:r>
      <w:r w:rsidRPr="00A118E8">
        <w:rPr>
          <w:spacing w:val="-2"/>
          <w:sz w:val="18"/>
          <w:szCs w:val="28"/>
        </w:rPr>
        <w:t xml:space="preserve"> </w:t>
      </w:r>
      <w:r w:rsidRPr="00A118E8">
        <w:rPr>
          <w:sz w:val="18"/>
          <w:szCs w:val="28"/>
        </w:rPr>
        <w:t>Interest,</w:t>
      </w:r>
      <w:r w:rsidRPr="00A118E8">
        <w:rPr>
          <w:spacing w:val="-3"/>
          <w:sz w:val="18"/>
          <w:szCs w:val="28"/>
        </w:rPr>
        <w:t xml:space="preserve"> </w:t>
      </w:r>
      <w:r w:rsidR="00B10897" w:rsidRPr="00A118E8">
        <w:rPr>
          <w:spacing w:val="-3"/>
          <w:sz w:val="18"/>
          <w:szCs w:val="28"/>
        </w:rPr>
        <w:t xml:space="preserve">up to the Tender Offer Settlement Date, </w:t>
      </w:r>
      <w:r w:rsidRPr="00A118E8">
        <w:rPr>
          <w:sz w:val="18"/>
          <w:szCs w:val="28"/>
        </w:rPr>
        <w:t>which</w:t>
      </w:r>
      <w:r w:rsidRPr="00A118E8">
        <w:rPr>
          <w:spacing w:val="-3"/>
          <w:sz w:val="18"/>
          <w:szCs w:val="28"/>
        </w:rPr>
        <w:t xml:space="preserve"> </w:t>
      </w:r>
      <w:r w:rsidRPr="00A118E8">
        <w:rPr>
          <w:sz w:val="18"/>
          <w:szCs w:val="28"/>
        </w:rPr>
        <w:t>will</w:t>
      </w:r>
      <w:r w:rsidRPr="00A118E8">
        <w:rPr>
          <w:spacing w:val="-2"/>
          <w:sz w:val="18"/>
          <w:szCs w:val="28"/>
        </w:rPr>
        <w:t xml:space="preserve"> </w:t>
      </w:r>
      <w:r w:rsidRPr="00A118E8">
        <w:rPr>
          <w:sz w:val="18"/>
          <w:szCs w:val="28"/>
        </w:rPr>
        <w:t>also</w:t>
      </w:r>
      <w:r w:rsidRPr="00A118E8">
        <w:rPr>
          <w:spacing w:val="-2"/>
          <w:sz w:val="18"/>
          <w:szCs w:val="28"/>
        </w:rPr>
        <w:t xml:space="preserve"> </w:t>
      </w:r>
      <w:r w:rsidRPr="00A118E8">
        <w:rPr>
          <w:sz w:val="18"/>
          <w:szCs w:val="28"/>
        </w:rPr>
        <w:t>be</w:t>
      </w:r>
      <w:r w:rsidRPr="00A118E8">
        <w:rPr>
          <w:spacing w:val="-3"/>
          <w:sz w:val="18"/>
          <w:szCs w:val="28"/>
        </w:rPr>
        <w:t xml:space="preserve"> </w:t>
      </w:r>
      <w:r w:rsidRPr="00A118E8">
        <w:rPr>
          <w:spacing w:val="-4"/>
          <w:sz w:val="18"/>
          <w:szCs w:val="28"/>
        </w:rPr>
        <w:t>paid.</w:t>
      </w:r>
    </w:p>
    <w:p w14:paraId="16ED1EE8" w14:textId="613D2AA5" w:rsidR="00836C2A" w:rsidRDefault="00391175" w:rsidP="00A118E8">
      <w:pPr>
        <w:pStyle w:val="wTableFN6"/>
        <w:rPr>
          <w:sz w:val="18"/>
          <w:szCs w:val="28"/>
        </w:rPr>
      </w:pPr>
      <w:r w:rsidRPr="00A118E8">
        <w:rPr>
          <w:sz w:val="18"/>
          <w:szCs w:val="28"/>
        </w:rPr>
        <w:t>(2)</w:t>
      </w:r>
      <w:r w:rsidRPr="00A118E8">
        <w:rPr>
          <w:sz w:val="18"/>
          <w:szCs w:val="28"/>
        </w:rPr>
        <w:tab/>
        <w:t>Per</w:t>
      </w:r>
      <w:r w:rsidRPr="00A118E8">
        <w:rPr>
          <w:spacing w:val="-6"/>
          <w:sz w:val="18"/>
          <w:szCs w:val="28"/>
        </w:rPr>
        <w:t xml:space="preserve"> </w:t>
      </w:r>
      <w:r w:rsidRPr="00A118E8">
        <w:rPr>
          <w:sz w:val="18"/>
          <w:szCs w:val="28"/>
        </w:rPr>
        <w:t>U.S.$1,000</w:t>
      </w:r>
      <w:r w:rsidRPr="00A118E8">
        <w:rPr>
          <w:spacing w:val="-4"/>
          <w:sz w:val="18"/>
          <w:szCs w:val="28"/>
        </w:rPr>
        <w:t xml:space="preserve"> in </w:t>
      </w:r>
      <w:r w:rsidRPr="00A118E8">
        <w:rPr>
          <w:sz w:val="18"/>
          <w:szCs w:val="28"/>
        </w:rPr>
        <w:t>principal</w:t>
      </w:r>
      <w:r w:rsidRPr="00A118E8">
        <w:rPr>
          <w:spacing w:val="-3"/>
          <w:sz w:val="18"/>
          <w:szCs w:val="28"/>
        </w:rPr>
        <w:t xml:space="preserve"> </w:t>
      </w:r>
      <w:r w:rsidRPr="00A118E8">
        <w:rPr>
          <w:sz w:val="18"/>
          <w:szCs w:val="28"/>
        </w:rPr>
        <w:t>amount</w:t>
      </w:r>
    </w:p>
    <w:p w14:paraId="7EC78BAF" w14:textId="77777777" w:rsidR="004244A8" w:rsidRPr="00A118E8" w:rsidRDefault="004244A8" w:rsidP="00A118E8">
      <w:pPr>
        <w:pStyle w:val="wTableFN6"/>
        <w:rPr>
          <w:rFonts w:cstheme="minorHAnsi"/>
          <w:i/>
          <w:sz w:val="16"/>
          <w:szCs w:val="28"/>
        </w:rPr>
      </w:pPr>
    </w:p>
    <w:p w14:paraId="0F976002" w14:textId="47294FF4" w:rsidR="000857FF" w:rsidRPr="00190E5F" w:rsidRDefault="00237A4A" w:rsidP="000857FF">
      <w:pPr>
        <w:pStyle w:val="BodyText"/>
        <w:rPr>
          <w:rFonts w:cstheme="minorHAnsi"/>
          <w:i/>
          <w:szCs w:val="22"/>
        </w:rPr>
      </w:pPr>
      <w:r w:rsidRPr="00190E5F">
        <w:rPr>
          <w:rFonts w:cstheme="minorHAnsi"/>
          <w:i/>
          <w:szCs w:val="22"/>
        </w:rPr>
        <w:t>Indicative Offer Timetable</w:t>
      </w:r>
    </w:p>
    <w:p w14:paraId="183B57A0" w14:textId="379D441B" w:rsidR="00272A71" w:rsidRDefault="00237A4A" w:rsidP="00272A71">
      <w:pPr>
        <w:pStyle w:val="BodyText"/>
        <w:jc w:val="both"/>
      </w:pPr>
      <w:r w:rsidRPr="00190E5F">
        <w:t>This timetable is subject to change and dates may be extended or changed by the Issuer</w:t>
      </w:r>
      <w:r w:rsidR="00C13EED">
        <w:t xml:space="preserve"> (or KMG Finance on behalf of the Issuer)</w:t>
      </w:r>
      <w:r w:rsidRPr="00190E5F">
        <w:t xml:space="preserve">, in its discretion, in accordance with the terms and conditions set out in the </w:t>
      </w:r>
      <w:r w:rsidR="006008DD">
        <w:t>Offer to Purchase</w:t>
      </w:r>
      <w:r w:rsidRPr="00190E5F">
        <w:t xml:space="preserve"> (including the Conditions to the </w:t>
      </w:r>
      <w:r w:rsidR="009D287F">
        <w:t xml:space="preserve">Tender </w:t>
      </w:r>
      <w:r w:rsidRPr="00190E5F">
        <w:t xml:space="preserve">Offer). Accordingly, the actual timetable may differ significantly from the timetable set forth below.  </w:t>
      </w:r>
    </w:p>
    <w:tbl>
      <w:tblPr>
        <w:tblStyle w:val="TableGrid"/>
        <w:tblW w:w="4972" w:type="pct"/>
        <w:tblBorders>
          <w:top w:val="nil"/>
          <w:left w:val="nil"/>
          <w:bottom w:val="nil"/>
          <w:right w:val="nil"/>
          <w:insideH w:val="nil"/>
          <w:insideV w:val="nil"/>
        </w:tblBorders>
        <w:tblLayout w:type="fixed"/>
        <w:tblCellMar>
          <w:left w:w="115" w:type="dxa"/>
          <w:right w:w="115" w:type="dxa"/>
        </w:tblCellMar>
        <w:tblLook w:val="04A0" w:firstRow="1" w:lastRow="0" w:firstColumn="1" w:lastColumn="0" w:noHBand="0" w:noVBand="1"/>
      </w:tblPr>
      <w:tblGrid>
        <w:gridCol w:w="4851"/>
        <w:gridCol w:w="4125"/>
      </w:tblGrid>
      <w:tr w:rsidR="0011644A" w14:paraId="1CCA2150" w14:textId="77777777" w:rsidTr="00E91086">
        <w:tc>
          <w:tcPr>
            <w:tcW w:w="4851" w:type="dxa"/>
            <w:tcBorders>
              <w:bottom w:val="single" w:sz="4" w:space="0" w:color="auto"/>
            </w:tcBorders>
            <w:vAlign w:val="bottom"/>
          </w:tcPr>
          <w:p w14:paraId="04041479" w14:textId="77777777" w:rsidR="00AA61FF" w:rsidRPr="00AA61FF" w:rsidRDefault="00237A4A" w:rsidP="00AA61FF">
            <w:pPr>
              <w:pStyle w:val="wText"/>
              <w:spacing w:before="0" w:after="0"/>
              <w:jc w:val="left"/>
              <w:rPr>
                <w:b/>
              </w:rPr>
            </w:pPr>
            <w:r w:rsidRPr="00AA61FF">
              <w:rPr>
                <w:b/>
              </w:rPr>
              <w:t>Date and time (all times are New York City time, unless otherwise stated)</w:t>
            </w:r>
          </w:p>
        </w:tc>
        <w:tc>
          <w:tcPr>
            <w:tcW w:w="4125" w:type="dxa"/>
            <w:tcBorders>
              <w:bottom w:val="single" w:sz="4" w:space="0" w:color="auto"/>
            </w:tcBorders>
            <w:vAlign w:val="bottom"/>
          </w:tcPr>
          <w:p w14:paraId="2B920B59" w14:textId="77777777" w:rsidR="00AA61FF" w:rsidRPr="00AA61FF" w:rsidRDefault="00237A4A" w:rsidP="00AA61FF">
            <w:pPr>
              <w:pStyle w:val="wText"/>
              <w:spacing w:before="0" w:after="0"/>
              <w:jc w:val="left"/>
              <w:rPr>
                <w:b/>
              </w:rPr>
            </w:pPr>
            <w:r w:rsidRPr="00AA61FF">
              <w:rPr>
                <w:b/>
              </w:rPr>
              <w:t>Event</w:t>
            </w:r>
          </w:p>
        </w:tc>
      </w:tr>
      <w:tr w:rsidR="0011644A" w14:paraId="6A1891F2" w14:textId="77777777" w:rsidTr="00E91086">
        <w:tc>
          <w:tcPr>
            <w:tcW w:w="4851" w:type="dxa"/>
            <w:tcBorders>
              <w:top w:val="single" w:sz="4" w:space="0" w:color="auto"/>
            </w:tcBorders>
          </w:tcPr>
          <w:p w14:paraId="116CB496" w14:textId="60DDEAC0" w:rsidR="00AA61FF" w:rsidRPr="00AA61FF" w:rsidRDefault="00927732" w:rsidP="00266846">
            <w:pPr>
              <w:pStyle w:val="wText"/>
              <w:tabs>
                <w:tab w:val="right" w:leader="dot" w:pos="4860"/>
              </w:tabs>
              <w:spacing w:before="180"/>
              <w:rPr>
                <w:b/>
              </w:rPr>
            </w:pPr>
            <w:r>
              <w:rPr>
                <w:szCs w:val="20"/>
              </w:rPr>
              <w:t>3 September</w:t>
            </w:r>
            <w:r w:rsidR="002F46F4">
              <w:rPr>
                <w:szCs w:val="20"/>
              </w:rPr>
              <w:t xml:space="preserve"> 202</w:t>
            </w:r>
            <w:r w:rsidR="001141C5">
              <w:rPr>
                <w:szCs w:val="20"/>
              </w:rPr>
              <w:t>4</w:t>
            </w:r>
            <w:r w:rsidRPr="00AA61FF">
              <w:rPr>
                <w:szCs w:val="20"/>
              </w:rPr>
              <w:tab/>
            </w:r>
          </w:p>
        </w:tc>
        <w:tc>
          <w:tcPr>
            <w:tcW w:w="4125" w:type="dxa"/>
            <w:tcBorders>
              <w:top w:val="single" w:sz="4" w:space="0" w:color="auto"/>
            </w:tcBorders>
          </w:tcPr>
          <w:p w14:paraId="12588CA7" w14:textId="77777777" w:rsidR="00AA61FF" w:rsidRPr="00282B9E" w:rsidRDefault="00237A4A" w:rsidP="00AA61FF">
            <w:pPr>
              <w:pStyle w:val="wText"/>
              <w:spacing w:before="180"/>
            </w:pPr>
            <w:r w:rsidRPr="00282B9E">
              <w:t>Launch Date</w:t>
            </w:r>
          </w:p>
        </w:tc>
      </w:tr>
      <w:tr w:rsidR="0011644A" w14:paraId="7484B37E" w14:textId="77777777" w:rsidTr="00E91086">
        <w:tc>
          <w:tcPr>
            <w:tcW w:w="4851" w:type="dxa"/>
          </w:tcPr>
          <w:p w14:paraId="4A3C3568" w14:textId="23984FF9" w:rsidR="00AA61FF" w:rsidRPr="00AA61FF" w:rsidRDefault="00237A4A" w:rsidP="00E344C1">
            <w:pPr>
              <w:pStyle w:val="wText"/>
              <w:tabs>
                <w:tab w:val="right" w:leader="dot" w:pos="4860"/>
              </w:tabs>
              <w:spacing w:before="0"/>
            </w:pPr>
            <w:r w:rsidRPr="00AA61FF">
              <w:t xml:space="preserve">5:00 </w:t>
            </w:r>
            <w:r w:rsidR="00927732">
              <w:t>p</w:t>
            </w:r>
            <w:r w:rsidRPr="00AA61FF">
              <w:t>.m. (</w:t>
            </w:r>
            <w:r w:rsidR="00927732">
              <w:t xml:space="preserve">New York City </w:t>
            </w:r>
            <w:r w:rsidRPr="00AA61FF">
              <w:t xml:space="preserve">time), </w:t>
            </w:r>
            <w:r w:rsidR="00927732">
              <w:rPr>
                <w:szCs w:val="20"/>
              </w:rPr>
              <w:t xml:space="preserve">10 September </w:t>
            </w:r>
            <w:r w:rsidR="002F46F4">
              <w:rPr>
                <w:szCs w:val="20"/>
              </w:rPr>
              <w:t>202</w:t>
            </w:r>
            <w:r w:rsidR="00927732">
              <w:rPr>
                <w:szCs w:val="20"/>
              </w:rPr>
              <w:t>4</w:t>
            </w:r>
            <w:r w:rsidRPr="00AA61FF">
              <w:rPr>
                <w:szCs w:val="20"/>
              </w:rPr>
              <w:tab/>
            </w:r>
          </w:p>
        </w:tc>
        <w:tc>
          <w:tcPr>
            <w:tcW w:w="4125" w:type="dxa"/>
          </w:tcPr>
          <w:p w14:paraId="4BF731BD" w14:textId="77777777" w:rsidR="00AA61FF" w:rsidRDefault="00237A4A" w:rsidP="00AA61FF">
            <w:pPr>
              <w:pStyle w:val="wText"/>
              <w:spacing w:before="0"/>
            </w:pPr>
            <w:r w:rsidRPr="00282B9E">
              <w:t>Expiration Deadline</w:t>
            </w:r>
            <w:r w:rsidR="00927732">
              <w:t>/ Withdrawal Deadline</w:t>
            </w:r>
          </w:p>
          <w:p w14:paraId="02D9B1C0" w14:textId="7A61CD73" w:rsidR="00FA1D33" w:rsidRPr="00282B9E" w:rsidRDefault="00FA1D33" w:rsidP="009C6B1B">
            <w:pPr>
              <w:pStyle w:val="wText"/>
            </w:pPr>
            <w:r>
              <w:lastRenderedPageBreak/>
              <w:t xml:space="preserve">The last time and date for Holders to submit Tender Instructions (or, where applicable, Notices of Guaranteed Delivery) </w:t>
            </w:r>
            <w:proofErr w:type="gramStart"/>
            <w:r>
              <w:t>in order to</w:t>
            </w:r>
            <w:proofErr w:type="gramEnd"/>
            <w:r>
              <w:t xml:space="preserve"> be able to participate in the Tender Offer and to be eligible to receive the Tender Offer Consideration and Accrued Interest on the Tender Offer Settlement Date. Tender Instructions may not be revoked after the Expiration Deadline.</w:t>
            </w:r>
          </w:p>
        </w:tc>
      </w:tr>
      <w:tr w:rsidR="0011644A" w14:paraId="34608E20" w14:textId="77777777" w:rsidTr="00E91086">
        <w:tc>
          <w:tcPr>
            <w:tcW w:w="4851" w:type="dxa"/>
          </w:tcPr>
          <w:p w14:paraId="21E6D114" w14:textId="03CF74A6" w:rsidR="00AA61FF" w:rsidRPr="00AA61FF" w:rsidRDefault="00391175" w:rsidP="00282B9E">
            <w:pPr>
              <w:pStyle w:val="wText"/>
              <w:tabs>
                <w:tab w:val="right" w:leader="dot" w:pos="4860"/>
              </w:tabs>
              <w:spacing w:before="0"/>
            </w:pPr>
            <w:r>
              <w:rPr>
                <w:szCs w:val="20"/>
              </w:rPr>
              <w:lastRenderedPageBreak/>
              <w:t>As soon as reasonably practicable following the Expiration Deadline</w:t>
            </w:r>
            <w:r w:rsidR="00F75C82" w:rsidRPr="00AA61FF">
              <w:rPr>
                <w:szCs w:val="20"/>
              </w:rPr>
              <w:tab/>
            </w:r>
          </w:p>
        </w:tc>
        <w:tc>
          <w:tcPr>
            <w:tcW w:w="4125" w:type="dxa"/>
          </w:tcPr>
          <w:p w14:paraId="3C5F7036" w14:textId="02DD6E60" w:rsidR="00AA61FF" w:rsidRPr="00282B9E" w:rsidRDefault="00927732" w:rsidP="00AA61FF">
            <w:pPr>
              <w:pStyle w:val="wText"/>
              <w:spacing w:before="0"/>
            </w:pPr>
            <w:r w:rsidRPr="00927732">
              <w:t>Results Announcement</w:t>
            </w:r>
          </w:p>
        </w:tc>
      </w:tr>
      <w:tr w:rsidR="0011644A" w14:paraId="16B9F6A6" w14:textId="77777777" w:rsidTr="00E91086">
        <w:tc>
          <w:tcPr>
            <w:tcW w:w="4851" w:type="dxa"/>
          </w:tcPr>
          <w:p w14:paraId="7739388A" w14:textId="432ECD06" w:rsidR="00AA61FF" w:rsidRPr="00AA61FF" w:rsidRDefault="00927732" w:rsidP="00C51F1E">
            <w:pPr>
              <w:pStyle w:val="wText"/>
              <w:tabs>
                <w:tab w:val="right" w:leader="dot" w:pos="4860"/>
              </w:tabs>
              <w:spacing w:before="0"/>
            </w:pPr>
            <w:r w:rsidRPr="00927732">
              <w:rPr>
                <w:szCs w:val="20"/>
              </w:rPr>
              <w:t>5:00 p.m., New York City time, on 1</w:t>
            </w:r>
            <w:r w:rsidR="00B10897">
              <w:rPr>
                <w:szCs w:val="20"/>
              </w:rPr>
              <w:t>1</w:t>
            </w:r>
            <w:r w:rsidRPr="00927732">
              <w:rPr>
                <w:szCs w:val="20"/>
              </w:rPr>
              <w:t xml:space="preserve"> September 2024</w:t>
            </w:r>
            <w:r w:rsidRPr="00AA61FF">
              <w:rPr>
                <w:szCs w:val="20"/>
              </w:rPr>
              <w:tab/>
            </w:r>
          </w:p>
        </w:tc>
        <w:tc>
          <w:tcPr>
            <w:tcW w:w="4125" w:type="dxa"/>
          </w:tcPr>
          <w:p w14:paraId="286933B3" w14:textId="77777777" w:rsidR="00AA61FF" w:rsidRDefault="00927732" w:rsidP="00AA61FF">
            <w:pPr>
              <w:pStyle w:val="wText"/>
              <w:spacing w:before="0"/>
            </w:pPr>
            <w:r w:rsidRPr="00927732">
              <w:t>Guaranteed Delivery Deadline</w:t>
            </w:r>
          </w:p>
          <w:p w14:paraId="693AFAF2" w14:textId="751098C5" w:rsidR="00FA1D33" w:rsidRPr="00282B9E" w:rsidRDefault="00FA1D33" w:rsidP="009C6B1B">
            <w:pPr>
              <w:pStyle w:val="wText"/>
            </w:pPr>
            <w:r>
              <w:t>If any Holder of Notes desires to tender their Notes and (</w:t>
            </w:r>
            <w:proofErr w:type="spellStart"/>
            <w:r>
              <w:t>i</w:t>
            </w:r>
            <w:proofErr w:type="spellEnd"/>
            <w:r>
              <w:t>) such Note certificates are not immediately available or cannot be delivered to the Tender and Information Agent, (ii) such Holder cannot comply with the procedure for book-entry transfer, or (iii) such Holder cannot deliver the other required documents to the Tender and Information Agent by the Expiration Deadline, such Holder must tender their Notes according to the guaranteed delivery procedure described under “</w:t>
            </w:r>
            <w:r w:rsidRPr="009C6B1B">
              <w:rPr>
                <w:i/>
                <w:iCs/>
              </w:rPr>
              <w:t>Procedures for Tendering Notes</w:t>
            </w:r>
            <w:r>
              <w:rPr>
                <w:i/>
                <w:iCs/>
              </w:rPr>
              <w:t>”</w:t>
            </w:r>
            <w:r>
              <w:t xml:space="preserve"> in the Offer to Purchase and deliver their Notes by 5:00 p.m. (New York City time) on 11 September 2024.</w:t>
            </w:r>
          </w:p>
        </w:tc>
      </w:tr>
      <w:tr w:rsidR="0011644A" w14:paraId="629D8519" w14:textId="77777777" w:rsidTr="00E91086">
        <w:tc>
          <w:tcPr>
            <w:tcW w:w="4851" w:type="dxa"/>
          </w:tcPr>
          <w:p w14:paraId="773804E2" w14:textId="3AFD36F8" w:rsidR="00AA61FF" w:rsidRPr="00AA61FF" w:rsidRDefault="00927732" w:rsidP="00282B9E">
            <w:pPr>
              <w:pStyle w:val="wText"/>
              <w:tabs>
                <w:tab w:val="right" w:leader="dot" w:pos="4860"/>
              </w:tabs>
              <w:spacing w:before="0"/>
            </w:pPr>
            <w:r w:rsidRPr="00927732">
              <w:rPr>
                <w:szCs w:val="20"/>
              </w:rPr>
              <w:t xml:space="preserve"> 12 September 2024</w:t>
            </w:r>
            <w:r w:rsidRPr="00AA61FF">
              <w:rPr>
                <w:szCs w:val="20"/>
              </w:rPr>
              <w:tab/>
            </w:r>
          </w:p>
        </w:tc>
        <w:tc>
          <w:tcPr>
            <w:tcW w:w="4125" w:type="dxa"/>
          </w:tcPr>
          <w:p w14:paraId="3B20565A" w14:textId="60B3A71C" w:rsidR="00AA61FF" w:rsidRPr="00282B9E" w:rsidRDefault="00927732" w:rsidP="00AA61FF">
            <w:pPr>
              <w:pStyle w:val="wText"/>
              <w:spacing w:before="0"/>
            </w:pPr>
            <w:r>
              <w:t xml:space="preserve">Tender Offer </w:t>
            </w:r>
            <w:r w:rsidRPr="00282B9E">
              <w:t>Settlement Date</w:t>
            </w:r>
            <w:r w:rsidR="00F83827">
              <w:t xml:space="preserve"> / Guaranteed Delivery Settlement Date</w:t>
            </w:r>
          </w:p>
        </w:tc>
      </w:tr>
    </w:tbl>
    <w:p w14:paraId="1A589061" w14:textId="39937E45" w:rsidR="00707181" w:rsidRPr="00707181" w:rsidRDefault="00237A4A" w:rsidP="00707181">
      <w:pPr>
        <w:pStyle w:val="BodyText"/>
        <w:jc w:val="both"/>
        <w:rPr>
          <w:rFonts w:cstheme="minorHAnsi"/>
          <w:b/>
          <w:bCs/>
          <w:iCs/>
          <w:szCs w:val="22"/>
          <w:u w:val="single"/>
        </w:rPr>
      </w:pPr>
      <w:r w:rsidRPr="00190E5F">
        <w:rPr>
          <w:rFonts w:cstheme="minorHAnsi"/>
          <w:szCs w:val="22"/>
        </w:rPr>
        <w:t xml:space="preserve"> </w:t>
      </w:r>
      <w:r w:rsidR="00EC1E6D">
        <w:rPr>
          <w:rFonts w:cstheme="minorHAnsi"/>
          <w:i/>
          <w:szCs w:val="22"/>
        </w:rPr>
        <w:br/>
      </w:r>
      <w:r w:rsidR="00707181">
        <w:rPr>
          <w:rFonts w:cstheme="minorHAnsi"/>
          <w:iCs/>
          <w:szCs w:val="22"/>
        </w:rPr>
        <w:t>Holders</w:t>
      </w:r>
      <w:r w:rsidR="00707181" w:rsidRPr="00707181">
        <w:rPr>
          <w:rFonts w:cstheme="minorHAnsi"/>
          <w:iCs/>
          <w:szCs w:val="22"/>
        </w:rPr>
        <w:t xml:space="preserve"> are advised to check with any bank, securities </w:t>
      </w:r>
      <w:proofErr w:type="gramStart"/>
      <w:r w:rsidR="00707181" w:rsidRPr="00707181">
        <w:rPr>
          <w:rFonts w:cstheme="minorHAnsi"/>
          <w:iCs/>
          <w:szCs w:val="22"/>
        </w:rPr>
        <w:t>broker</w:t>
      </w:r>
      <w:proofErr w:type="gramEnd"/>
      <w:r w:rsidR="00707181" w:rsidRPr="00707181">
        <w:rPr>
          <w:rFonts w:cstheme="minorHAnsi"/>
          <w:iCs/>
          <w:szCs w:val="22"/>
        </w:rPr>
        <w:t xml:space="preserve"> or other </w:t>
      </w:r>
      <w:r w:rsidR="00A118E8">
        <w:rPr>
          <w:rFonts w:cstheme="minorHAnsi"/>
          <w:iCs/>
          <w:szCs w:val="22"/>
        </w:rPr>
        <w:t>i</w:t>
      </w:r>
      <w:r w:rsidR="00707181" w:rsidRPr="00707181">
        <w:rPr>
          <w:rFonts w:cstheme="minorHAnsi"/>
          <w:iCs/>
          <w:szCs w:val="22"/>
        </w:rPr>
        <w:t xml:space="preserve">ntermediary through which they hold Notes when such </w:t>
      </w:r>
      <w:r w:rsidR="00A118E8">
        <w:rPr>
          <w:rFonts w:cstheme="minorHAnsi"/>
          <w:iCs/>
          <w:szCs w:val="22"/>
        </w:rPr>
        <w:t>i</w:t>
      </w:r>
      <w:r w:rsidR="00707181" w:rsidRPr="00707181">
        <w:rPr>
          <w:rFonts w:cstheme="minorHAnsi"/>
          <w:iCs/>
          <w:szCs w:val="22"/>
        </w:rPr>
        <w:t xml:space="preserve">ntermediary would require to receive instructions from a </w:t>
      </w:r>
      <w:r w:rsidR="00707181">
        <w:rPr>
          <w:rFonts w:cstheme="minorHAnsi"/>
          <w:iCs/>
          <w:szCs w:val="22"/>
        </w:rPr>
        <w:t>Holder</w:t>
      </w:r>
      <w:r w:rsidR="00707181" w:rsidRPr="00707181">
        <w:rPr>
          <w:rFonts w:cstheme="minorHAnsi"/>
          <w:iCs/>
          <w:szCs w:val="22"/>
        </w:rPr>
        <w:t xml:space="preserve"> in order for that </w:t>
      </w:r>
      <w:r w:rsidR="00707181">
        <w:rPr>
          <w:rFonts w:cstheme="minorHAnsi"/>
          <w:iCs/>
          <w:szCs w:val="22"/>
        </w:rPr>
        <w:t>Holder</w:t>
      </w:r>
      <w:r w:rsidR="00707181" w:rsidRPr="00707181">
        <w:rPr>
          <w:rFonts w:cstheme="minorHAnsi"/>
          <w:iCs/>
          <w:szCs w:val="22"/>
        </w:rPr>
        <w:t xml:space="preserve"> to be able to participate in, or revoke their instruction to participate in, the</w:t>
      </w:r>
      <w:r w:rsidR="00871FAE">
        <w:rPr>
          <w:rFonts w:cstheme="minorHAnsi"/>
          <w:iCs/>
          <w:szCs w:val="22"/>
        </w:rPr>
        <w:t xml:space="preserve"> Tender</w:t>
      </w:r>
      <w:r w:rsidR="00707181" w:rsidRPr="00707181">
        <w:rPr>
          <w:rFonts w:cstheme="minorHAnsi"/>
          <w:iCs/>
          <w:szCs w:val="22"/>
        </w:rPr>
        <w:t xml:space="preserve"> Offer before the deadlines specified above. </w:t>
      </w:r>
      <w:r w:rsidR="00707181" w:rsidRPr="00707181">
        <w:rPr>
          <w:rFonts w:cstheme="minorHAnsi"/>
          <w:b/>
          <w:bCs/>
          <w:iCs/>
          <w:szCs w:val="22"/>
          <w:u w:val="single"/>
        </w:rPr>
        <w:t xml:space="preserve">The deadlines set by any such </w:t>
      </w:r>
      <w:r w:rsidR="00A118E8">
        <w:rPr>
          <w:rFonts w:cstheme="minorHAnsi"/>
          <w:b/>
          <w:bCs/>
          <w:iCs/>
          <w:szCs w:val="22"/>
          <w:u w:val="single"/>
        </w:rPr>
        <w:t>i</w:t>
      </w:r>
      <w:r w:rsidR="00707181" w:rsidRPr="00707181">
        <w:rPr>
          <w:rFonts w:cstheme="minorHAnsi"/>
          <w:b/>
          <w:bCs/>
          <w:iCs/>
          <w:szCs w:val="22"/>
          <w:u w:val="single"/>
        </w:rPr>
        <w:t>ntermediary and each Clearing System for the submission and withdrawal of Tender Instructions will be earlier than the relevant deadlines specified above.</w:t>
      </w:r>
    </w:p>
    <w:p w14:paraId="3A318E89" w14:textId="4B7B4D0B" w:rsidR="002F21D6" w:rsidRPr="00707181" w:rsidRDefault="00707181" w:rsidP="002F21D6">
      <w:pPr>
        <w:pStyle w:val="BodyText"/>
        <w:jc w:val="both"/>
        <w:rPr>
          <w:rFonts w:cstheme="minorHAnsi"/>
          <w:iCs/>
          <w:szCs w:val="22"/>
        </w:rPr>
      </w:pPr>
      <w:r w:rsidRPr="00707181">
        <w:rPr>
          <w:rFonts w:cstheme="minorHAnsi"/>
          <w:iCs/>
          <w:szCs w:val="22"/>
        </w:rPr>
        <w:t>The Offeror</w:t>
      </w:r>
      <w:r>
        <w:rPr>
          <w:rFonts w:cstheme="minorHAnsi"/>
          <w:iCs/>
          <w:szCs w:val="22"/>
        </w:rPr>
        <w:t>s</w:t>
      </w:r>
      <w:r w:rsidRPr="00707181">
        <w:rPr>
          <w:rFonts w:cstheme="minorHAnsi"/>
          <w:iCs/>
          <w:szCs w:val="22"/>
        </w:rPr>
        <w:t xml:space="preserve"> reserve the right, in </w:t>
      </w:r>
      <w:r w:rsidR="009155BE">
        <w:rPr>
          <w:rFonts w:cstheme="minorHAnsi"/>
          <w:iCs/>
          <w:szCs w:val="22"/>
        </w:rPr>
        <w:t>their</w:t>
      </w:r>
      <w:r w:rsidRPr="00707181">
        <w:rPr>
          <w:rFonts w:cstheme="minorHAnsi"/>
          <w:iCs/>
          <w:szCs w:val="22"/>
        </w:rPr>
        <w:t xml:space="preserve"> sole and absolute discretion, to extend, re-open, withdraw or terminate the </w:t>
      </w:r>
      <w:r>
        <w:rPr>
          <w:rFonts w:cstheme="minorHAnsi"/>
          <w:iCs/>
          <w:szCs w:val="22"/>
        </w:rPr>
        <w:t xml:space="preserve">Tender </w:t>
      </w:r>
      <w:r w:rsidRPr="00707181">
        <w:rPr>
          <w:rFonts w:cstheme="minorHAnsi"/>
          <w:iCs/>
          <w:szCs w:val="22"/>
        </w:rPr>
        <w:t xml:space="preserve">Offer and to amend or waive any of the terms and conditions of the </w:t>
      </w:r>
      <w:r>
        <w:rPr>
          <w:rFonts w:cstheme="minorHAnsi"/>
          <w:iCs/>
          <w:szCs w:val="22"/>
        </w:rPr>
        <w:t xml:space="preserve">Tender </w:t>
      </w:r>
      <w:r w:rsidRPr="00707181">
        <w:rPr>
          <w:rFonts w:cstheme="minorHAnsi"/>
          <w:iCs/>
          <w:szCs w:val="22"/>
        </w:rPr>
        <w:t>Offer at any time following the announcement of the</w:t>
      </w:r>
      <w:r>
        <w:rPr>
          <w:rFonts w:cstheme="minorHAnsi"/>
          <w:iCs/>
          <w:szCs w:val="22"/>
        </w:rPr>
        <w:t xml:space="preserve"> Tender</w:t>
      </w:r>
      <w:r w:rsidRPr="00707181">
        <w:rPr>
          <w:rFonts w:cstheme="minorHAnsi"/>
          <w:iCs/>
          <w:szCs w:val="22"/>
        </w:rPr>
        <w:t xml:space="preserve"> Offer. </w:t>
      </w:r>
      <w:r w:rsidR="002F21D6" w:rsidRPr="00EB6B32">
        <w:t xml:space="preserve">The Offerors will publicly announce any such extension, </w:t>
      </w:r>
      <w:proofErr w:type="gramStart"/>
      <w:r w:rsidR="002F21D6" w:rsidRPr="00EB6B32">
        <w:t>amendment</w:t>
      </w:r>
      <w:proofErr w:type="gramEnd"/>
      <w:r w:rsidR="002F21D6" w:rsidRPr="00EB6B32">
        <w:t xml:space="preserve"> or termination, as described under “</w:t>
      </w:r>
      <w:r w:rsidR="002F21D6" w:rsidRPr="00EB6B32">
        <w:rPr>
          <w:i/>
        </w:rPr>
        <w:t>Expiration</w:t>
      </w:r>
      <w:r w:rsidR="002F21D6" w:rsidRPr="00EB6B32">
        <w:t xml:space="preserve"> </w:t>
      </w:r>
      <w:r w:rsidR="002F21D6" w:rsidRPr="00EB6B32">
        <w:rPr>
          <w:i/>
        </w:rPr>
        <w:t>Deadline;</w:t>
      </w:r>
      <w:r w:rsidR="002F21D6" w:rsidRPr="00EB6B32">
        <w:t xml:space="preserve"> </w:t>
      </w:r>
      <w:r w:rsidR="002F21D6" w:rsidRPr="00EB6B32">
        <w:rPr>
          <w:i/>
        </w:rPr>
        <w:t>Extension;</w:t>
      </w:r>
      <w:r w:rsidR="002F21D6" w:rsidRPr="00EB6B32">
        <w:t xml:space="preserve"> </w:t>
      </w:r>
      <w:r w:rsidR="002F21D6" w:rsidRPr="00EB6B32">
        <w:rPr>
          <w:i/>
        </w:rPr>
        <w:t>Amendment;</w:t>
      </w:r>
      <w:r w:rsidR="002F21D6" w:rsidRPr="00EB6B32">
        <w:t xml:space="preserve"> </w:t>
      </w:r>
      <w:r w:rsidR="002F21D6" w:rsidRPr="00EB6B32">
        <w:rPr>
          <w:i/>
        </w:rPr>
        <w:t>Termination</w:t>
      </w:r>
      <w:r w:rsidR="002F21D6" w:rsidRPr="00EB6B32">
        <w:t>”. There can be no assurance that the Offerors will exercise their right to extend, terminate or amend the Tender Offer.</w:t>
      </w:r>
    </w:p>
    <w:p w14:paraId="5E273D1C" w14:textId="27ED0C50" w:rsidR="00BB1677" w:rsidRPr="00190E5F" w:rsidRDefault="00B10897" w:rsidP="00BB1677">
      <w:pPr>
        <w:pStyle w:val="BodyText"/>
        <w:rPr>
          <w:rFonts w:cstheme="minorHAnsi"/>
          <w:i/>
          <w:szCs w:val="22"/>
        </w:rPr>
      </w:pPr>
      <w:r>
        <w:rPr>
          <w:rFonts w:cstheme="minorHAnsi"/>
          <w:i/>
          <w:szCs w:val="22"/>
        </w:rPr>
        <w:t xml:space="preserve">Purpose and Background </w:t>
      </w:r>
      <w:r w:rsidR="00237A4A" w:rsidRPr="00190E5F">
        <w:rPr>
          <w:rFonts w:cstheme="minorHAnsi"/>
          <w:i/>
          <w:szCs w:val="22"/>
        </w:rPr>
        <w:t xml:space="preserve">for the </w:t>
      </w:r>
      <w:r w:rsidR="00C65B9D">
        <w:rPr>
          <w:rFonts w:cstheme="minorHAnsi"/>
          <w:i/>
          <w:szCs w:val="22"/>
        </w:rPr>
        <w:t xml:space="preserve">Tender </w:t>
      </w:r>
      <w:r w:rsidR="00237A4A" w:rsidRPr="00190E5F">
        <w:rPr>
          <w:rFonts w:cstheme="minorHAnsi"/>
          <w:i/>
          <w:szCs w:val="22"/>
        </w:rPr>
        <w:t>Offer</w:t>
      </w:r>
    </w:p>
    <w:p w14:paraId="6AEEB98B" w14:textId="533FF0FA" w:rsidR="00B10897" w:rsidRDefault="00B10897" w:rsidP="00B10897">
      <w:pPr>
        <w:pStyle w:val="BodyText"/>
        <w:jc w:val="both"/>
        <w:rPr>
          <w:color w:val="auto"/>
        </w:rPr>
      </w:pPr>
      <w:r w:rsidRPr="00B10897">
        <w:rPr>
          <w:color w:val="auto"/>
        </w:rPr>
        <w:t xml:space="preserve">The Offerors are making the Tender Offer as a way of managing the Issuer’s financial liabilities. The Offerors intend to use the opportunity to purchase any and all of the Notes and to use existing cash on hand to fund the Tender Offer. The payment of the Tender Offer Consideration and the Accrued Interest, for all Notes validly tendered and accepted for purchase pursuant to the Tender Offer will be made by the Issuer (or KMG Finance on behalf of the Issuer) to the Clearing Systems on the Tender Offer </w:t>
      </w:r>
      <w:r w:rsidRPr="00B10897">
        <w:rPr>
          <w:color w:val="auto"/>
        </w:rPr>
        <w:lastRenderedPageBreak/>
        <w:t>Settlement Date or the Guaranteed Delivery Settlement Date, as applicable. The Offerors intend to cancel all Notes purchased by them pursuant to the Tender Offer.</w:t>
      </w:r>
    </w:p>
    <w:p w14:paraId="60967D7C" w14:textId="69D9FDE9" w:rsidR="00B324E5" w:rsidRDefault="00237A4A" w:rsidP="00BB1677">
      <w:pPr>
        <w:pStyle w:val="BodyText"/>
        <w:rPr>
          <w:rFonts w:cstheme="minorHAnsi"/>
          <w:i/>
          <w:szCs w:val="22"/>
        </w:rPr>
      </w:pPr>
      <w:r w:rsidRPr="00190E5F">
        <w:rPr>
          <w:rFonts w:cstheme="minorHAnsi"/>
          <w:i/>
          <w:szCs w:val="22"/>
        </w:rPr>
        <w:t xml:space="preserve">The </w:t>
      </w:r>
      <w:r w:rsidR="00C65B9D">
        <w:rPr>
          <w:rFonts w:cstheme="minorHAnsi"/>
          <w:i/>
          <w:szCs w:val="22"/>
        </w:rPr>
        <w:t xml:space="preserve">Tender </w:t>
      </w:r>
      <w:r w:rsidRPr="00190E5F">
        <w:rPr>
          <w:rFonts w:cstheme="minorHAnsi"/>
          <w:i/>
          <w:szCs w:val="22"/>
        </w:rPr>
        <w:t>Offer</w:t>
      </w:r>
    </w:p>
    <w:p w14:paraId="0858DC3C" w14:textId="608EA731" w:rsidR="00CB22EB" w:rsidRPr="00EB6B32" w:rsidRDefault="00CB22EB" w:rsidP="00CB22EB">
      <w:pPr>
        <w:pStyle w:val="wText"/>
      </w:pPr>
      <w:r w:rsidRPr="00EB6B32">
        <w:t>The</w:t>
      </w:r>
      <w:r w:rsidRPr="00EB6B32">
        <w:rPr>
          <w:spacing w:val="-1"/>
        </w:rPr>
        <w:t xml:space="preserve"> </w:t>
      </w:r>
      <w:r w:rsidRPr="00EB6B32">
        <w:t>Tender Offer Consideration</w:t>
      </w:r>
      <w:r w:rsidRPr="00EB6B32">
        <w:rPr>
          <w:spacing w:val="-1"/>
        </w:rPr>
        <w:t xml:space="preserve"> </w:t>
      </w:r>
      <w:r w:rsidRPr="00EB6B32">
        <w:t>will</w:t>
      </w:r>
      <w:r w:rsidRPr="00EB6B32">
        <w:rPr>
          <w:spacing w:val="-1"/>
        </w:rPr>
        <w:t xml:space="preserve"> </w:t>
      </w:r>
      <w:r w:rsidRPr="00EB6B32">
        <w:t>be</w:t>
      </w:r>
      <w:r w:rsidRPr="00EB6B32">
        <w:rPr>
          <w:spacing w:val="-1"/>
        </w:rPr>
        <w:t xml:space="preserve"> </w:t>
      </w:r>
      <w:r w:rsidRPr="00EB6B32">
        <w:t>U.S.$</w:t>
      </w:r>
      <w:r w:rsidR="00363EE5">
        <w:t>1,000</w:t>
      </w:r>
      <w:r w:rsidRPr="00EB6B32">
        <w:t xml:space="preserve"> per each U.S.$1,000 in</w:t>
      </w:r>
      <w:r w:rsidRPr="00EB6B32">
        <w:rPr>
          <w:spacing w:val="-1"/>
        </w:rPr>
        <w:t xml:space="preserve"> </w:t>
      </w:r>
      <w:r w:rsidRPr="00EB6B32">
        <w:t>principal</w:t>
      </w:r>
      <w:r w:rsidRPr="00EB6B32">
        <w:rPr>
          <w:spacing w:val="-1"/>
        </w:rPr>
        <w:t xml:space="preserve"> </w:t>
      </w:r>
      <w:r w:rsidRPr="00EB6B32">
        <w:t>amount</w:t>
      </w:r>
      <w:r w:rsidRPr="00EB6B32">
        <w:rPr>
          <w:spacing w:val="-1"/>
        </w:rPr>
        <w:t xml:space="preserve"> </w:t>
      </w:r>
      <w:r w:rsidRPr="00EB6B32">
        <w:t>of</w:t>
      </w:r>
      <w:r w:rsidRPr="00EB6B32">
        <w:rPr>
          <w:spacing w:val="-2"/>
        </w:rPr>
        <w:t xml:space="preserve"> </w:t>
      </w:r>
      <w:r w:rsidRPr="00EB6B32">
        <w:t>Notes</w:t>
      </w:r>
      <w:r w:rsidRPr="00EB6B32">
        <w:rPr>
          <w:spacing w:val="-2"/>
        </w:rPr>
        <w:t xml:space="preserve"> </w:t>
      </w:r>
      <w:r w:rsidRPr="00EB6B32">
        <w:t>validly</w:t>
      </w:r>
      <w:r w:rsidRPr="00EB6B32">
        <w:rPr>
          <w:spacing w:val="-1"/>
        </w:rPr>
        <w:t xml:space="preserve"> </w:t>
      </w:r>
      <w:r w:rsidRPr="00EB6B32">
        <w:t>tendered and accepted for purchase pursuant to the Tender Offer.</w:t>
      </w:r>
    </w:p>
    <w:p w14:paraId="7849A2C2" w14:textId="418F4E5B" w:rsidR="00CB22EB" w:rsidRDefault="00CB22EB" w:rsidP="00392458">
      <w:pPr>
        <w:pStyle w:val="wText"/>
      </w:pPr>
      <w:r w:rsidRPr="00EB6B32">
        <w:t>In addition to the Tender Offer Consideration paid to Holders of Notes, Holders will be paid the Accrued Interest per U.S.$1,000 in principal amount of Notes tendered and accepted pursuant to the Tender Offer, rounded to the nearest U.S.$0.01.</w:t>
      </w:r>
      <w:r w:rsidR="003D6C2B" w:rsidRPr="00392458">
        <w:rPr>
          <w:color w:val="FF0000"/>
        </w:rPr>
        <w:t xml:space="preserve"> </w:t>
      </w:r>
      <w:r w:rsidR="003D6C2B" w:rsidRPr="003D6C2B">
        <w:t>Accrued Interest will cease to accrue on the Tender Offer Settlement Date, and (in the case of Notes for which the guaranteed delivery procedures are used) no additional accrued interest will be paid in respect of the period from the Tender Offer Settlement Date to the Guaranteed Delivery Settlement Date.</w:t>
      </w:r>
      <w:r w:rsidR="003D6C2B">
        <w:t xml:space="preserve"> </w:t>
      </w:r>
    </w:p>
    <w:p w14:paraId="5E383421" w14:textId="2104F50B" w:rsidR="00472929" w:rsidRPr="00EB6B32" w:rsidRDefault="00472929" w:rsidP="00392458">
      <w:pPr>
        <w:pStyle w:val="wText"/>
      </w:pPr>
      <w:r w:rsidRPr="00EB6B32">
        <w:t>The</w:t>
      </w:r>
      <w:r w:rsidRPr="00EB6B32">
        <w:rPr>
          <w:spacing w:val="-7"/>
        </w:rPr>
        <w:t xml:space="preserve"> </w:t>
      </w:r>
      <w:r w:rsidRPr="00EB6B32">
        <w:t>Tender</w:t>
      </w:r>
      <w:r w:rsidRPr="00EB6B32">
        <w:rPr>
          <w:spacing w:val="-7"/>
        </w:rPr>
        <w:t xml:space="preserve"> </w:t>
      </w:r>
      <w:r w:rsidRPr="00EB6B32">
        <w:t>Offer</w:t>
      </w:r>
      <w:r w:rsidRPr="00EB6B32">
        <w:rPr>
          <w:spacing w:val="-5"/>
        </w:rPr>
        <w:t xml:space="preserve"> </w:t>
      </w:r>
      <w:r w:rsidRPr="00EB6B32">
        <w:t>is</w:t>
      </w:r>
      <w:r w:rsidRPr="00EB6B32">
        <w:rPr>
          <w:spacing w:val="-7"/>
        </w:rPr>
        <w:t xml:space="preserve"> </w:t>
      </w:r>
      <w:r w:rsidRPr="00EB6B32">
        <w:t>not</w:t>
      </w:r>
      <w:r w:rsidRPr="00EB6B32">
        <w:rPr>
          <w:spacing w:val="-6"/>
        </w:rPr>
        <w:t xml:space="preserve"> </w:t>
      </w:r>
      <w:r w:rsidRPr="00EB6B32">
        <w:t>contingent</w:t>
      </w:r>
      <w:r w:rsidRPr="00EB6B32">
        <w:rPr>
          <w:spacing w:val="-7"/>
        </w:rPr>
        <w:t xml:space="preserve"> </w:t>
      </w:r>
      <w:r w:rsidRPr="00EB6B32">
        <w:t>upon</w:t>
      </w:r>
      <w:r w:rsidRPr="00EB6B32">
        <w:rPr>
          <w:spacing w:val="-5"/>
        </w:rPr>
        <w:t xml:space="preserve"> </w:t>
      </w:r>
      <w:r w:rsidRPr="00EB6B32">
        <w:t>the</w:t>
      </w:r>
      <w:r w:rsidRPr="00EB6B32">
        <w:rPr>
          <w:spacing w:val="-7"/>
        </w:rPr>
        <w:t xml:space="preserve"> </w:t>
      </w:r>
      <w:r w:rsidRPr="00EB6B32">
        <w:t>tender</w:t>
      </w:r>
      <w:r w:rsidRPr="00EB6B32">
        <w:rPr>
          <w:spacing w:val="-6"/>
        </w:rPr>
        <w:t xml:space="preserve"> </w:t>
      </w:r>
      <w:r w:rsidRPr="00EB6B32">
        <w:t>of</w:t>
      </w:r>
      <w:r w:rsidRPr="00EB6B32">
        <w:rPr>
          <w:spacing w:val="-6"/>
        </w:rPr>
        <w:t xml:space="preserve"> </w:t>
      </w:r>
      <w:r w:rsidRPr="00EB6B32">
        <w:t>any</w:t>
      </w:r>
      <w:r w:rsidRPr="00EB6B32">
        <w:rPr>
          <w:spacing w:val="-6"/>
        </w:rPr>
        <w:t xml:space="preserve"> </w:t>
      </w:r>
      <w:r w:rsidRPr="00EB6B32">
        <w:t>minimum</w:t>
      </w:r>
      <w:r w:rsidRPr="00EB6B32">
        <w:rPr>
          <w:spacing w:val="-7"/>
        </w:rPr>
        <w:t xml:space="preserve"> </w:t>
      </w:r>
      <w:r w:rsidRPr="00EB6B32">
        <w:t>principal</w:t>
      </w:r>
      <w:r w:rsidRPr="00EB6B32">
        <w:rPr>
          <w:spacing w:val="-6"/>
        </w:rPr>
        <w:t xml:space="preserve"> </w:t>
      </w:r>
      <w:r w:rsidRPr="00EB6B32">
        <w:t>amount</w:t>
      </w:r>
      <w:r w:rsidRPr="00EB6B32">
        <w:rPr>
          <w:spacing w:val="-7"/>
        </w:rPr>
        <w:t xml:space="preserve"> </w:t>
      </w:r>
      <w:r w:rsidRPr="00EB6B32">
        <w:t>of</w:t>
      </w:r>
      <w:r w:rsidRPr="00EB6B32">
        <w:rPr>
          <w:spacing w:val="-6"/>
        </w:rPr>
        <w:t xml:space="preserve"> </w:t>
      </w:r>
      <w:r w:rsidRPr="00EB6B32">
        <w:t>Notes.</w:t>
      </w:r>
    </w:p>
    <w:p w14:paraId="3BF5F6CB" w14:textId="3F0D59EA" w:rsidR="00CB22EB" w:rsidRPr="00EB6B32" w:rsidRDefault="00CB22EB" w:rsidP="00CB22EB">
      <w:pPr>
        <w:pStyle w:val="wText"/>
      </w:pPr>
      <w:r w:rsidRPr="00EB6B32">
        <w:t>Unless</w:t>
      </w:r>
      <w:r w:rsidRPr="00EB6B32">
        <w:rPr>
          <w:spacing w:val="-7"/>
        </w:rPr>
        <w:t xml:space="preserve"> </w:t>
      </w:r>
      <w:r w:rsidRPr="00EB6B32">
        <w:t>waived</w:t>
      </w:r>
      <w:r w:rsidRPr="00EB6B32">
        <w:rPr>
          <w:spacing w:val="-6"/>
        </w:rPr>
        <w:t xml:space="preserve"> </w:t>
      </w:r>
      <w:r w:rsidRPr="00EB6B32">
        <w:t>by</w:t>
      </w:r>
      <w:r w:rsidRPr="00EB6B32">
        <w:rPr>
          <w:spacing w:val="-5"/>
        </w:rPr>
        <w:t xml:space="preserve"> </w:t>
      </w:r>
      <w:r w:rsidRPr="00EB6B32">
        <w:t>the Offerors, the Offerors’ obligation to accept and pay for, Notes validly tendered pursuant to the Tender Offer is conditioned upon satisfaction or waiver (in the Offerors’ sole discretion) of the conditions as set forth in “</w:t>
      </w:r>
      <w:r w:rsidRPr="00EB6B32">
        <w:rPr>
          <w:i/>
        </w:rPr>
        <w:t>Conditions</w:t>
      </w:r>
      <w:r w:rsidRPr="00EB6B32">
        <w:t xml:space="preserve"> </w:t>
      </w:r>
      <w:r w:rsidRPr="00EB6B32">
        <w:rPr>
          <w:i/>
        </w:rPr>
        <w:t>of</w:t>
      </w:r>
      <w:r w:rsidRPr="00EB6B32">
        <w:t xml:space="preserve"> </w:t>
      </w:r>
      <w:r w:rsidRPr="00EB6B32">
        <w:rPr>
          <w:i/>
        </w:rPr>
        <w:t>the</w:t>
      </w:r>
      <w:r w:rsidRPr="00EB6B32">
        <w:t xml:space="preserve"> </w:t>
      </w:r>
      <w:r w:rsidRPr="00EB6B32">
        <w:rPr>
          <w:i/>
        </w:rPr>
        <w:t>Tender</w:t>
      </w:r>
      <w:r w:rsidRPr="00EB6B32">
        <w:t xml:space="preserve"> </w:t>
      </w:r>
      <w:r w:rsidRPr="00EB6B32">
        <w:rPr>
          <w:i/>
        </w:rPr>
        <w:t>Offer</w:t>
      </w:r>
      <w:r w:rsidRPr="00EB6B32">
        <w:t xml:space="preserve">” </w:t>
      </w:r>
      <w:r w:rsidR="009551F9">
        <w:t xml:space="preserve">under the </w:t>
      </w:r>
      <w:r w:rsidR="006008DD">
        <w:t>Offer to Purchase</w:t>
      </w:r>
      <w:r w:rsidRPr="00EB6B32">
        <w:t>. All conditions to the Tender Offer will be either satisfied or waived by the Offerors (in their sole discretion) on or prior to the Expiration Deadline. The Offerors reserve the right, in their sole discretion, subject to applicable law, to waive any one or more of the conditions with respect to the Tender Offer at any time.</w:t>
      </w:r>
    </w:p>
    <w:p w14:paraId="1CA16E79" w14:textId="77777777" w:rsidR="00CB22EB" w:rsidRDefault="00CB22EB" w:rsidP="00CB22EB">
      <w:pPr>
        <w:pStyle w:val="wText"/>
      </w:pPr>
      <w:r w:rsidRPr="00EB6B32">
        <w:t xml:space="preserve">None of the Offerors, the Dealer Managers or the Tender and Information Agent makes any recommendation whether Holders should tender or refrain from tendering Notes in the Tender Offer, and no one has been </w:t>
      </w:r>
      <w:proofErr w:type="spellStart"/>
      <w:r w:rsidRPr="00EB6B32">
        <w:t>authorised</w:t>
      </w:r>
      <w:proofErr w:type="spellEnd"/>
      <w:r w:rsidRPr="00EB6B32">
        <w:t xml:space="preserve"> by any of them to make such a recommendation. Holders are urged to evaluate carefully all information in the Offer to Purchase, consult their own investment and tax advisers and make their own decisions whether to tender Notes in the Tender Offer, and, if so, the principal amount of Notes to tender.</w:t>
      </w:r>
    </w:p>
    <w:p w14:paraId="149B09BA" w14:textId="77777777" w:rsidR="003D6C2B" w:rsidRPr="00237A4A" w:rsidRDefault="003D6C2B" w:rsidP="00237A4A">
      <w:pPr>
        <w:pStyle w:val="BodyText"/>
        <w:keepNext/>
        <w:rPr>
          <w:rFonts w:cstheme="minorHAnsi"/>
          <w:i/>
          <w:szCs w:val="22"/>
        </w:rPr>
      </w:pPr>
      <w:r w:rsidRPr="00237A4A">
        <w:rPr>
          <w:rFonts w:cstheme="minorHAnsi"/>
          <w:i/>
          <w:szCs w:val="22"/>
        </w:rPr>
        <w:t>Tender Instructions</w:t>
      </w:r>
    </w:p>
    <w:p w14:paraId="1AD0DDE5" w14:textId="19FAFE72" w:rsidR="003D6C2B" w:rsidRDefault="003D6C2B" w:rsidP="00237A4A">
      <w:pPr>
        <w:pStyle w:val="BodyText"/>
        <w:jc w:val="both"/>
        <w:rPr>
          <w:rFonts w:cstheme="minorHAnsi"/>
          <w:szCs w:val="22"/>
        </w:rPr>
      </w:pPr>
      <w:r w:rsidRPr="003D6C2B">
        <w:rPr>
          <w:rFonts w:cstheme="minorHAnsi"/>
          <w:szCs w:val="22"/>
        </w:rPr>
        <w:t>To tender Notes for purchase pursuant to the Tender Offer, a holder of Notes should deliver, or arrange to have delivered on its behalf, via the relevant Clearing System and in accordance with the requirements of such Clearing System, a valid Tender Instruction that is received in each case by the Tender and Information Agent by the Expiration Deadline.</w:t>
      </w:r>
      <w:r w:rsidR="00F92BFA">
        <w:rPr>
          <w:rFonts w:cstheme="minorHAnsi"/>
          <w:szCs w:val="22"/>
        </w:rPr>
        <w:t xml:space="preserve"> </w:t>
      </w:r>
    </w:p>
    <w:p w14:paraId="643DA16C" w14:textId="617B0081" w:rsidR="00F92BFA" w:rsidRPr="0088318B" w:rsidRDefault="00F92BFA" w:rsidP="00F92BFA">
      <w:pPr>
        <w:pStyle w:val="wText"/>
      </w:pPr>
      <w:r w:rsidRPr="0088318B">
        <w:t xml:space="preserve">In order to be eligible to participate in the Offer to Purchase, Holders of Notes held through KCSD or the AIX CSD must deliver, or arrange to have delivered on their behalf, through the KCSD or the AIX CSD, and in accordance with the requirements of the KCSD, a valid Tender Instruction in the form specified by the KCSD or the AIX CSD for submission by the KCSD or the AIX CSD on behalf of such Holders to the Tender and Information Agent through the relevant Clearing System and in accordance with the requirements of such Clearing System at or prior to the Expiration Deadline, unless the relevant Tender Offer is extended, re-opened or terminated as provided in </w:t>
      </w:r>
      <w:r w:rsidR="00AD5014">
        <w:t>the</w:t>
      </w:r>
      <w:r w:rsidRPr="0088318B">
        <w:t xml:space="preserve"> Offer to Purchase.</w:t>
      </w:r>
    </w:p>
    <w:p w14:paraId="5339F577" w14:textId="6118319C" w:rsidR="00F92BFA" w:rsidRPr="00F92BFA" w:rsidRDefault="00F92BFA" w:rsidP="00237A4A">
      <w:pPr>
        <w:pStyle w:val="BodyText"/>
        <w:jc w:val="both"/>
        <w:rPr>
          <w:rFonts w:cstheme="minorHAnsi"/>
          <w:szCs w:val="22"/>
          <w:lang w:val="en-US"/>
        </w:rPr>
      </w:pPr>
      <w:r w:rsidRPr="00F92BFA">
        <w:rPr>
          <w:rFonts w:ascii="Times New Roman" w:eastAsia="PMingLiU" w:hAnsi="Times New Roman" w:cs="Times New Roman"/>
          <w:color w:val="auto"/>
          <w:szCs w:val="22"/>
          <w:lang w:val="en-US" w:eastAsia="en-US"/>
        </w:rPr>
        <w:t xml:space="preserve">If any Holder wishes to tender its Notes through the Clearing Systems but such Holder cannot comply with the procedures for the submission of a valid Tender Instruction prior to the Expiration Deadline, such Holder may tender its Notes in accordance with the Guaranteed Delivery Procedures described </w:t>
      </w:r>
      <w:r>
        <w:rPr>
          <w:rFonts w:ascii="Times New Roman" w:eastAsia="PMingLiU" w:hAnsi="Times New Roman" w:cs="Times New Roman"/>
          <w:color w:val="auto"/>
          <w:szCs w:val="22"/>
          <w:lang w:val="en-US" w:eastAsia="en-US"/>
        </w:rPr>
        <w:t xml:space="preserve">in the Offer to Purchase </w:t>
      </w:r>
      <w:r w:rsidRPr="00F92BFA">
        <w:rPr>
          <w:rFonts w:ascii="Times New Roman" w:eastAsia="PMingLiU" w:hAnsi="Times New Roman" w:cs="Times New Roman"/>
          <w:color w:val="auto"/>
          <w:szCs w:val="22"/>
          <w:lang w:val="en-US" w:eastAsia="en-US"/>
        </w:rPr>
        <w:t>under “</w:t>
      </w:r>
      <w:r w:rsidRPr="00F92BFA">
        <w:rPr>
          <w:rFonts w:ascii="Times New Roman" w:eastAsia="PMingLiU" w:hAnsi="Times New Roman" w:cs="Times New Roman"/>
          <w:i/>
          <w:iCs/>
          <w:color w:val="auto"/>
          <w:szCs w:val="22"/>
          <w:lang w:val="en-US" w:eastAsia="en-US"/>
        </w:rPr>
        <w:t>Procedures for Tendering Notes—Guaranteed Delivery Procedures</w:t>
      </w:r>
      <w:r w:rsidRPr="00F92BFA">
        <w:rPr>
          <w:rFonts w:ascii="Times New Roman" w:eastAsia="PMingLiU" w:hAnsi="Times New Roman" w:cs="Times New Roman"/>
          <w:color w:val="auto"/>
          <w:szCs w:val="22"/>
          <w:lang w:val="en-US" w:eastAsia="en-US"/>
        </w:rPr>
        <w:t>”.</w:t>
      </w:r>
    </w:p>
    <w:p w14:paraId="59DD4BF1" w14:textId="77777777" w:rsidR="003D6C2B" w:rsidRPr="003D6C2B" w:rsidRDefault="003D6C2B" w:rsidP="00237A4A">
      <w:pPr>
        <w:pStyle w:val="BodyText"/>
        <w:jc w:val="both"/>
        <w:rPr>
          <w:rFonts w:cstheme="minorHAnsi"/>
          <w:szCs w:val="22"/>
        </w:rPr>
      </w:pPr>
      <w:r w:rsidRPr="003D6C2B">
        <w:rPr>
          <w:rFonts w:cstheme="minorHAnsi"/>
          <w:szCs w:val="22"/>
        </w:rPr>
        <w:t>Tender Instructions must be submitted in respect of a principal amount of Notes of no less than the Minimum Denomination, being U.S.</w:t>
      </w:r>
      <w:r w:rsidRPr="00237A4A">
        <w:rPr>
          <w:rStyle w:val="xn-money"/>
          <w:rFonts w:cstheme="minorHAnsi"/>
          <w:color w:val="373737"/>
          <w:szCs w:val="22"/>
        </w:rPr>
        <w:t>$200,000</w:t>
      </w:r>
      <w:r w:rsidRPr="003D6C2B">
        <w:rPr>
          <w:rFonts w:cstheme="minorHAnsi"/>
          <w:szCs w:val="22"/>
        </w:rPr>
        <w:t> and may be submitted in integral multiples of U.S.</w:t>
      </w:r>
      <w:r w:rsidRPr="00237A4A">
        <w:rPr>
          <w:rStyle w:val="xn-money"/>
          <w:rFonts w:cstheme="minorHAnsi"/>
          <w:color w:val="373737"/>
          <w:szCs w:val="22"/>
        </w:rPr>
        <w:t>$1,000</w:t>
      </w:r>
      <w:r w:rsidRPr="003D6C2B">
        <w:rPr>
          <w:rFonts w:cstheme="minorHAnsi"/>
          <w:szCs w:val="22"/>
        </w:rPr>
        <w:t> thereafter.</w:t>
      </w:r>
    </w:p>
    <w:p w14:paraId="19B74DC5" w14:textId="7EA2395D" w:rsidR="003D6C2B" w:rsidRPr="00472929" w:rsidRDefault="003D6C2B" w:rsidP="00237A4A">
      <w:pPr>
        <w:pStyle w:val="BodyText"/>
        <w:jc w:val="both"/>
        <w:rPr>
          <w:rFonts w:cstheme="minorHAnsi"/>
          <w:b/>
          <w:bCs/>
          <w:szCs w:val="22"/>
        </w:rPr>
      </w:pPr>
      <w:r w:rsidRPr="00472929">
        <w:rPr>
          <w:rFonts w:cstheme="minorHAnsi"/>
          <w:b/>
          <w:bCs/>
          <w:szCs w:val="22"/>
        </w:rPr>
        <w:lastRenderedPageBreak/>
        <w:t>Holders are advised to read carefully the Offer to Purchase for full details of and information on the procedures for participating in the Tender Offer.</w:t>
      </w:r>
    </w:p>
    <w:p w14:paraId="797F0615" w14:textId="77777777" w:rsidR="00BB1677" w:rsidRPr="00190E5F" w:rsidRDefault="00237A4A" w:rsidP="00E91086">
      <w:pPr>
        <w:pStyle w:val="BodyText"/>
        <w:keepNext/>
        <w:rPr>
          <w:rFonts w:cstheme="minorHAnsi"/>
          <w:i/>
          <w:szCs w:val="22"/>
        </w:rPr>
      </w:pPr>
      <w:r w:rsidRPr="00190E5F">
        <w:rPr>
          <w:rFonts w:cstheme="minorHAnsi"/>
          <w:i/>
          <w:szCs w:val="22"/>
        </w:rPr>
        <w:t>General</w:t>
      </w:r>
    </w:p>
    <w:p w14:paraId="79A6BBA9" w14:textId="41560AD0" w:rsidR="004A0472" w:rsidRDefault="004A0472" w:rsidP="003773FD">
      <w:pPr>
        <w:pStyle w:val="BodyText"/>
        <w:jc w:val="both"/>
        <w:rPr>
          <w:rFonts w:cstheme="minorHAnsi"/>
          <w:szCs w:val="22"/>
        </w:rPr>
      </w:pPr>
      <w:r w:rsidRPr="004A0472">
        <w:rPr>
          <w:rFonts w:cstheme="minorHAnsi"/>
          <w:szCs w:val="22"/>
        </w:rPr>
        <w:t>The Issuer (or KMG Finance on behalf of the Issuer) may determine in its sole discretion not to accept tenders of Notes for any reason and the Issuer is under no obligation to any Holder to furnish any reason or justification for refusing to accept any tender of Notes. In addition, the Issuer (or KMG Finance on behalf of the Issuer) may determine in its sole discretion whether or not the Conditions to the Tender Offer have been satisfied.</w:t>
      </w:r>
    </w:p>
    <w:p w14:paraId="794E3F89" w14:textId="28BECDE0" w:rsidR="00CC575B" w:rsidRPr="00190E5F" w:rsidRDefault="00CC575B" w:rsidP="003773FD">
      <w:pPr>
        <w:pStyle w:val="BodyText"/>
        <w:jc w:val="both"/>
        <w:rPr>
          <w:rFonts w:cstheme="minorHAnsi"/>
          <w:szCs w:val="22"/>
        </w:rPr>
      </w:pPr>
      <w:r w:rsidRPr="00CC575B">
        <w:rPr>
          <w:rFonts w:cstheme="minorHAnsi"/>
          <w:szCs w:val="22"/>
        </w:rPr>
        <w:t xml:space="preserve">Under the terms and conditions of the Notes, in the event that at least 80 per cent. of the aggregate principal amount of Notes have been redeemed or purchased (other than as specified in the terms and conditions of the Notes), the Issuer may, at its option, at any time, before the date falling six months prior to the maturity date of the Notes, redeem all (but not less than all) of the outstanding Notes at a redemption price equal to 100% of the principal amount of such Notes together with any interest accrued to, but excluding, the date of such redemption. No assurance can be given that the thresholds described above will or will not be crossed pursuant to the Tender Offer and there can be no assurance as to whether or when the </w:t>
      </w:r>
      <w:r w:rsidR="00363EE5">
        <w:rPr>
          <w:rFonts w:cstheme="minorHAnsi"/>
          <w:szCs w:val="22"/>
        </w:rPr>
        <w:t>Issuer</w:t>
      </w:r>
      <w:r w:rsidRPr="00CC575B">
        <w:rPr>
          <w:rFonts w:cstheme="minorHAnsi"/>
          <w:szCs w:val="22"/>
        </w:rPr>
        <w:t xml:space="preserve"> will choose to exercise its option to redeem the Notes. Any future decision by the </w:t>
      </w:r>
      <w:r w:rsidR="00363EE5">
        <w:rPr>
          <w:rFonts w:cstheme="minorHAnsi"/>
          <w:szCs w:val="22"/>
        </w:rPr>
        <w:t>Issuer</w:t>
      </w:r>
      <w:r w:rsidRPr="00CC575B">
        <w:rPr>
          <w:rFonts w:cstheme="minorHAnsi"/>
          <w:szCs w:val="22"/>
        </w:rPr>
        <w:t xml:space="preserve"> to redeem the outstanding Notes will depend on various factors existing at that time.</w:t>
      </w:r>
    </w:p>
    <w:p w14:paraId="51124398" w14:textId="782FDD5F" w:rsidR="00D2593D" w:rsidRPr="00190E5F" w:rsidRDefault="00110593" w:rsidP="00F02804">
      <w:pPr>
        <w:pStyle w:val="BodyText"/>
        <w:jc w:val="both"/>
        <w:rPr>
          <w:rFonts w:cstheme="minorHAnsi"/>
          <w:szCs w:val="22"/>
        </w:rPr>
      </w:pPr>
      <w:r w:rsidRPr="00110593">
        <w:rPr>
          <w:rFonts w:cstheme="minorHAnsi"/>
          <w:szCs w:val="22"/>
        </w:rPr>
        <w:t xml:space="preserve">Unless stated otherwise, announcements in connection with the Tender Offer will be by way of the issue of a press release through RNS and by the delivery of notices to the relevant Clearing Systems for communication to Direct Participants. Publication will also be made on the website of the KASE (at </w:t>
      </w:r>
      <w:hyperlink r:id="rId11" w:history="1">
        <w:r w:rsidR="0095433F" w:rsidRPr="00B97496">
          <w:rPr>
            <w:rStyle w:val="Hyperlink"/>
            <w:rFonts w:cstheme="minorHAnsi"/>
            <w:szCs w:val="22"/>
          </w:rPr>
          <w:t>www.kase.kz</w:t>
        </w:r>
      </w:hyperlink>
      <w:r w:rsidR="0095433F">
        <w:rPr>
          <w:rFonts w:cstheme="minorHAnsi"/>
          <w:szCs w:val="22"/>
        </w:rPr>
        <w:t>)</w:t>
      </w:r>
      <w:r w:rsidRPr="00110593">
        <w:rPr>
          <w:rFonts w:cstheme="minorHAnsi"/>
          <w:szCs w:val="22"/>
        </w:rPr>
        <w:t xml:space="preserve"> and on the website of the AIX (at </w:t>
      </w:r>
      <w:hyperlink r:id="rId12" w:history="1">
        <w:r w:rsidR="0095433F" w:rsidRPr="00B97496">
          <w:rPr>
            <w:rStyle w:val="Hyperlink"/>
            <w:rFonts w:cstheme="minorHAnsi"/>
            <w:szCs w:val="22"/>
          </w:rPr>
          <w:t>www.aix.kz</w:t>
        </w:r>
      </w:hyperlink>
      <w:r w:rsidR="0095433F">
        <w:rPr>
          <w:rFonts w:cstheme="minorHAnsi"/>
          <w:szCs w:val="22"/>
        </w:rPr>
        <w:t>)</w:t>
      </w:r>
      <w:r w:rsidRPr="00110593">
        <w:rPr>
          <w:rFonts w:cstheme="minorHAnsi"/>
          <w:szCs w:val="22"/>
        </w:rPr>
        <w:t xml:space="preserve">. Such announcements may also made by the issue of a press release to a Bloomberg, Reuters IIIA and/or such other recognised news service or services as selected by the Offerors. Copies of all such announcements, press releases and notices can also be obtained upon request from the Tender and Information Agent, the contact details for which are </w:t>
      </w:r>
      <w:r>
        <w:rPr>
          <w:rFonts w:cstheme="minorHAnsi"/>
          <w:szCs w:val="22"/>
        </w:rPr>
        <w:t>at the bottom</w:t>
      </w:r>
      <w:r w:rsidRPr="00110593">
        <w:rPr>
          <w:rFonts w:cstheme="minorHAnsi"/>
          <w:szCs w:val="22"/>
        </w:rPr>
        <w:t xml:space="preserve"> of this </w:t>
      </w:r>
      <w:r>
        <w:rPr>
          <w:rFonts w:cstheme="minorHAnsi"/>
          <w:szCs w:val="22"/>
        </w:rPr>
        <w:t>announcement</w:t>
      </w:r>
      <w:r w:rsidRPr="00110593">
        <w:rPr>
          <w:rFonts w:cstheme="minorHAnsi"/>
          <w:szCs w:val="22"/>
        </w:rPr>
        <w:t xml:space="preserve">. Significant delays may be experienced where notices are delivered to the Clearing Systems and Holders are urged to contact the Tender and Information Agent for the relevant announcements during the course of the Tender Offer. </w:t>
      </w:r>
    </w:p>
    <w:p w14:paraId="5FE7F396" w14:textId="4BE6687B" w:rsidR="00647E67" w:rsidRDefault="00237A4A" w:rsidP="00647E67">
      <w:pPr>
        <w:pStyle w:val="BodyText"/>
        <w:jc w:val="both"/>
        <w:rPr>
          <w:rFonts w:cstheme="minorHAnsi"/>
          <w:szCs w:val="22"/>
        </w:rPr>
      </w:pPr>
      <w:r w:rsidRPr="00190E5F">
        <w:rPr>
          <w:rFonts w:cstheme="minorHAnsi"/>
          <w:szCs w:val="22"/>
        </w:rPr>
        <w:t xml:space="preserve">This announcement is made by </w:t>
      </w:r>
      <w:r w:rsidR="002155D1">
        <w:rPr>
          <w:rFonts w:cstheme="minorHAnsi"/>
          <w:szCs w:val="22"/>
        </w:rPr>
        <w:t xml:space="preserve">Diana </w:t>
      </w:r>
      <w:proofErr w:type="spellStart"/>
      <w:r w:rsidR="002155D1">
        <w:rPr>
          <w:rFonts w:cstheme="minorHAnsi"/>
          <w:szCs w:val="22"/>
        </w:rPr>
        <w:t>Aryssova</w:t>
      </w:r>
      <w:proofErr w:type="spellEnd"/>
      <w:r w:rsidR="00335790" w:rsidRPr="00335790">
        <w:rPr>
          <w:rFonts w:cstheme="minorHAnsi"/>
          <w:szCs w:val="22"/>
        </w:rPr>
        <w:t xml:space="preserve">, </w:t>
      </w:r>
      <w:r w:rsidR="002155D1">
        <w:rPr>
          <w:rFonts w:cstheme="minorHAnsi"/>
          <w:szCs w:val="22"/>
        </w:rPr>
        <w:t>Deputy Chairman</w:t>
      </w:r>
      <w:r w:rsidRPr="00190E5F">
        <w:rPr>
          <w:rFonts w:cstheme="minorHAnsi"/>
          <w:szCs w:val="22"/>
        </w:rPr>
        <w:t xml:space="preserve">, on behalf of </w:t>
      </w:r>
      <w:r w:rsidR="00AA61FF" w:rsidRPr="00AA61FF">
        <w:rPr>
          <w:rFonts w:cstheme="minorHAnsi"/>
          <w:szCs w:val="22"/>
        </w:rPr>
        <w:t>JSC NC “</w:t>
      </w:r>
      <w:proofErr w:type="spellStart"/>
      <w:r w:rsidR="00AA61FF" w:rsidRPr="00AA61FF">
        <w:rPr>
          <w:rFonts w:cstheme="minorHAnsi"/>
          <w:szCs w:val="22"/>
        </w:rPr>
        <w:t>KazMunayGas</w:t>
      </w:r>
      <w:proofErr w:type="spellEnd"/>
      <w:r w:rsidR="00AA61FF" w:rsidRPr="00AA61FF">
        <w:rPr>
          <w:rFonts w:cstheme="minorHAnsi"/>
          <w:szCs w:val="22"/>
        </w:rPr>
        <w:t>”</w:t>
      </w:r>
      <w:r w:rsidR="00AA61FF">
        <w:rPr>
          <w:rFonts w:cstheme="minorHAnsi"/>
          <w:szCs w:val="22"/>
        </w:rPr>
        <w:t xml:space="preserve"> and </w:t>
      </w:r>
      <w:r w:rsidR="005A428B">
        <w:rPr>
          <w:rFonts w:cstheme="minorHAnsi"/>
          <w:szCs w:val="22"/>
        </w:rPr>
        <w:t xml:space="preserve">Mr. </w:t>
      </w:r>
      <w:proofErr w:type="spellStart"/>
      <w:r w:rsidR="005A428B" w:rsidRPr="005A428B">
        <w:rPr>
          <w:rFonts w:cstheme="minorHAnsi"/>
          <w:szCs w:val="22"/>
        </w:rPr>
        <w:t>Otmar</w:t>
      </w:r>
      <w:proofErr w:type="spellEnd"/>
      <w:r w:rsidR="005A428B" w:rsidRPr="005A428B">
        <w:rPr>
          <w:rFonts w:cstheme="minorHAnsi"/>
          <w:szCs w:val="22"/>
        </w:rPr>
        <w:t xml:space="preserve"> E. Carolus</w:t>
      </w:r>
      <w:r w:rsidR="00AA61FF" w:rsidRPr="00335790">
        <w:rPr>
          <w:rFonts w:cstheme="minorHAnsi"/>
          <w:szCs w:val="22"/>
        </w:rPr>
        <w:t xml:space="preserve">, </w:t>
      </w:r>
      <w:r w:rsidR="005A428B">
        <w:rPr>
          <w:rFonts w:cstheme="minorHAnsi"/>
          <w:szCs w:val="22"/>
        </w:rPr>
        <w:t>Managing Director</w:t>
      </w:r>
      <w:r w:rsidR="0008129C">
        <w:rPr>
          <w:rFonts w:cstheme="minorHAnsi"/>
          <w:szCs w:val="22"/>
        </w:rPr>
        <w:t xml:space="preserve"> </w:t>
      </w:r>
      <w:r w:rsidR="0008129C" w:rsidRPr="0008129C">
        <w:rPr>
          <w:rFonts w:cstheme="minorHAnsi"/>
          <w:szCs w:val="22"/>
        </w:rPr>
        <w:t xml:space="preserve">A and in </w:t>
      </w:r>
      <w:r w:rsidR="0008129C">
        <w:rPr>
          <w:rFonts w:cstheme="minorHAnsi"/>
          <w:szCs w:val="22"/>
        </w:rPr>
        <w:t>his</w:t>
      </w:r>
      <w:r w:rsidR="0008129C" w:rsidRPr="0008129C">
        <w:rPr>
          <w:rFonts w:cstheme="minorHAnsi"/>
          <w:szCs w:val="22"/>
        </w:rPr>
        <w:t xml:space="preserve"> capacity as attorney under the power of attorney</w:t>
      </w:r>
      <w:r w:rsidR="00AA61FF" w:rsidRPr="00190E5F">
        <w:rPr>
          <w:rFonts w:cstheme="minorHAnsi"/>
          <w:szCs w:val="22"/>
        </w:rPr>
        <w:t>, on behalf of</w:t>
      </w:r>
      <w:r w:rsidR="00AA61FF">
        <w:rPr>
          <w:rFonts w:cstheme="minorHAnsi"/>
          <w:szCs w:val="22"/>
        </w:rPr>
        <w:t xml:space="preserve"> </w:t>
      </w:r>
      <w:proofErr w:type="spellStart"/>
      <w:r w:rsidR="00AA61FF" w:rsidRPr="00AA61FF">
        <w:rPr>
          <w:rFonts w:cstheme="minorHAnsi"/>
          <w:szCs w:val="22"/>
        </w:rPr>
        <w:t>KazMunaiGaz</w:t>
      </w:r>
      <w:proofErr w:type="spellEnd"/>
      <w:r w:rsidR="00AA61FF" w:rsidRPr="00AA61FF">
        <w:rPr>
          <w:rFonts w:cstheme="minorHAnsi"/>
          <w:szCs w:val="22"/>
        </w:rPr>
        <w:t xml:space="preserve"> Finance Sub B.V.</w:t>
      </w:r>
      <w:r w:rsidRPr="00190E5F">
        <w:rPr>
          <w:rFonts w:cstheme="minorHAnsi"/>
          <w:szCs w:val="22"/>
        </w:rPr>
        <w:t xml:space="preserve"> and constitutes a public disclosure of inside information under Regulation (EU) 596/2014 (16 April 2014).</w:t>
      </w:r>
    </w:p>
    <w:p w14:paraId="479A70B0" w14:textId="77777777" w:rsidR="00E632A9" w:rsidRDefault="00E632A9" w:rsidP="00E632A9">
      <w:pPr>
        <w:pStyle w:val="BodyText"/>
        <w:jc w:val="both"/>
        <w:rPr>
          <w:rFonts w:cstheme="minorHAnsi"/>
          <w:szCs w:val="22"/>
        </w:rPr>
      </w:pPr>
      <w:r w:rsidRPr="00190E5F">
        <w:rPr>
          <w:rFonts w:cstheme="minorHAnsi"/>
          <w:szCs w:val="22"/>
        </w:rPr>
        <w:t xml:space="preserve">For further information on the </w:t>
      </w:r>
      <w:r>
        <w:rPr>
          <w:rFonts w:cstheme="minorHAnsi"/>
          <w:szCs w:val="22"/>
        </w:rPr>
        <w:t xml:space="preserve">Tender </w:t>
      </w:r>
      <w:r w:rsidRPr="00190E5F">
        <w:rPr>
          <w:rFonts w:cstheme="minorHAnsi"/>
          <w:szCs w:val="22"/>
        </w:rPr>
        <w:t xml:space="preserve">Offer and terms and conditions on which the </w:t>
      </w:r>
      <w:r>
        <w:rPr>
          <w:rFonts w:cstheme="minorHAnsi"/>
          <w:szCs w:val="22"/>
        </w:rPr>
        <w:t xml:space="preserve">Tender </w:t>
      </w:r>
      <w:r w:rsidRPr="00190E5F">
        <w:rPr>
          <w:rFonts w:cstheme="minorHAnsi"/>
          <w:szCs w:val="22"/>
        </w:rPr>
        <w:t xml:space="preserve">Offer </w:t>
      </w:r>
      <w:r>
        <w:rPr>
          <w:rFonts w:cstheme="minorHAnsi"/>
          <w:szCs w:val="22"/>
        </w:rPr>
        <w:t>is</w:t>
      </w:r>
      <w:r w:rsidRPr="00190E5F">
        <w:rPr>
          <w:rFonts w:cstheme="minorHAnsi"/>
          <w:szCs w:val="22"/>
        </w:rPr>
        <w:t xml:space="preserve"> made, Holders should refer to the </w:t>
      </w:r>
      <w:r>
        <w:rPr>
          <w:rFonts w:cstheme="minorHAnsi"/>
          <w:szCs w:val="22"/>
        </w:rPr>
        <w:t>Offer to Purchase</w:t>
      </w:r>
      <w:r w:rsidRPr="00190E5F">
        <w:rPr>
          <w:rFonts w:cstheme="minorHAnsi"/>
          <w:szCs w:val="22"/>
        </w:rPr>
        <w:t xml:space="preserve">. Questions and requests for assistance in connection with the (a) </w:t>
      </w:r>
      <w:r>
        <w:rPr>
          <w:rFonts w:cstheme="minorHAnsi"/>
          <w:szCs w:val="22"/>
        </w:rPr>
        <w:t xml:space="preserve">Tender </w:t>
      </w:r>
      <w:r w:rsidRPr="00190E5F">
        <w:rPr>
          <w:rFonts w:cstheme="minorHAnsi"/>
          <w:szCs w:val="22"/>
        </w:rPr>
        <w:t xml:space="preserve">Offer may be directed to the Dealer Managers; and (b) </w:t>
      </w:r>
      <w:r>
        <w:rPr>
          <w:rFonts w:cstheme="minorHAnsi"/>
          <w:szCs w:val="22"/>
        </w:rPr>
        <w:t xml:space="preserve">Tender </w:t>
      </w:r>
      <w:r w:rsidRPr="00190E5F">
        <w:rPr>
          <w:rFonts w:cstheme="minorHAnsi"/>
          <w:szCs w:val="22"/>
        </w:rPr>
        <w:t xml:space="preserve">Offer and the delivery of Tender Instructions may be directed to the Tender and </w:t>
      </w:r>
      <w:r>
        <w:rPr>
          <w:rFonts w:cstheme="minorHAnsi"/>
          <w:szCs w:val="22"/>
        </w:rPr>
        <w:t>Information</w:t>
      </w:r>
      <w:r w:rsidRPr="00190E5F">
        <w:rPr>
          <w:rFonts w:cstheme="minorHAnsi"/>
          <w:szCs w:val="22"/>
        </w:rPr>
        <w:t xml:space="preserve"> Agent, the contact details for all of which are below.</w:t>
      </w:r>
    </w:p>
    <w:p w14:paraId="0BEF889F" w14:textId="418F4D0B" w:rsidR="009C6B1B" w:rsidRDefault="009C6B1B">
      <w:pPr>
        <w:spacing w:after="200" w:line="2" w:lineRule="auto"/>
        <w:rPr>
          <w:rFonts w:cstheme="minorHAnsi"/>
          <w:color w:val="000000" w:themeColor="text2"/>
          <w:szCs w:val="22"/>
        </w:rPr>
      </w:pPr>
      <w:r>
        <w:rPr>
          <w:rFonts w:cstheme="minorHAnsi"/>
          <w:szCs w:val="22"/>
        </w:rPr>
        <w:br w:type="page"/>
      </w:r>
    </w:p>
    <w:p w14:paraId="76B38769" w14:textId="369AE674" w:rsidR="00DE6625" w:rsidRDefault="00DE6625" w:rsidP="00472929">
      <w:pPr>
        <w:pStyle w:val="BodyText"/>
        <w:jc w:val="center"/>
        <w:rPr>
          <w:b/>
          <w:bCs/>
          <w:sz w:val="20"/>
        </w:rPr>
      </w:pPr>
      <w:r>
        <w:rPr>
          <w:b/>
          <w:bCs/>
          <w:sz w:val="20"/>
        </w:rPr>
        <w:lastRenderedPageBreak/>
        <w:t>THE OFFERORS</w:t>
      </w:r>
    </w:p>
    <w:p w14:paraId="486D9E93" w14:textId="77777777" w:rsidR="00DE6625" w:rsidRDefault="00DE6625" w:rsidP="00DE6625">
      <w:pPr>
        <w:pStyle w:val="wText1"/>
        <w:ind w:left="0"/>
        <w:jc w:val="lef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DE6625" w14:paraId="48DBE318" w14:textId="77777777" w:rsidTr="00DE6625">
        <w:trPr>
          <w:trHeight w:val="1478"/>
        </w:trPr>
        <w:tc>
          <w:tcPr>
            <w:tcW w:w="4508" w:type="dxa"/>
          </w:tcPr>
          <w:p w14:paraId="3E02553B" w14:textId="50BABECB" w:rsidR="00DE6625" w:rsidRDefault="00DE6625" w:rsidP="00DE6625">
            <w:pPr>
              <w:pStyle w:val="wText1"/>
              <w:ind w:left="0"/>
              <w:jc w:val="center"/>
            </w:pPr>
            <w:r w:rsidRPr="00D57826">
              <w:rPr>
                <w:b/>
              </w:rPr>
              <w:t xml:space="preserve">JSC NC </w:t>
            </w:r>
            <w:r>
              <w:rPr>
                <w:b/>
              </w:rPr>
              <w:t>“</w:t>
            </w:r>
            <w:proofErr w:type="spellStart"/>
            <w:r w:rsidRPr="00D57826">
              <w:rPr>
                <w:b/>
              </w:rPr>
              <w:t>KazMunayGas</w:t>
            </w:r>
            <w:proofErr w:type="spellEnd"/>
            <w:r>
              <w:rPr>
                <w:b/>
              </w:rPr>
              <w:t>”</w:t>
            </w:r>
            <w:r w:rsidRPr="00190E5F">
              <w:rPr>
                <w:b/>
                <w:color w:val="000000" w:themeColor="text2"/>
              </w:rPr>
              <w:br/>
            </w:r>
            <w:r>
              <w:t xml:space="preserve">8, </w:t>
            </w:r>
            <w:proofErr w:type="spellStart"/>
            <w:r>
              <w:t>Kunayev</w:t>
            </w:r>
            <w:proofErr w:type="spellEnd"/>
            <w:r>
              <w:t xml:space="preserve"> Street</w:t>
            </w:r>
            <w:r>
              <w:br/>
            </w:r>
            <w:r w:rsidR="00B10530">
              <w:t>Astana</w:t>
            </w:r>
            <w:r>
              <w:t xml:space="preserve"> 010000</w:t>
            </w:r>
            <w:r>
              <w:br/>
            </w:r>
            <w:r w:rsidRPr="00743886">
              <w:t>Kazakhstan</w:t>
            </w:r>
          </w:p>
          <w:p w14:paraId="49F79F82" w14:textId="77777777" w:rsidR="00DE6625" w:rsidRDefault="00DE6625" w:rsidP="00DE6625">
            <w:pPr>
              <w:pStyle w:val="wText1"/>
              <w:ind w:left="0"/>
              <w:jc w:val="center"/>
              <w:rPr>
                <w:b/>
              </w:rPr>
            </w:pPr>
          </w:p>
        </w:tc>
        <w:tc>
          <w:tcPr>
            <w:tcW w:w="4509" w:type="dxa"/>
          </w:tcPr>
          <w:p w14:paraId="276F7234" w14:textId="77777777" w:rsidR="00DE6625" w:rsidRPr="00D57826" w:rsidRDefault="00DE6625" w:rsidP="00DE6625">
            <w:pPr>
              <w:pStyle w:val="wText"/>
              <w:keepNext/>
              <w:spacing w:after="0"/>
              <w:jc w:val="center"/>
            </w:pPr>
            <w:proofErr w:type="spellStart"/>
            <w:r w:rsidRPr="00D57826">
              <w:rPr>
                <w:b/>
                <w:bCs/>
              </w:rPr>
              <w:t>KazMunaiGaz</w:t>
            </w:r>
            <w:proofErr w:type="spellEnd"/>
            <w:r w:rsidRPr="00D57826">
              <w:rPr>
                <w:b/>
                <w:bCs/>
              </w:rPr>
              <w:t xml:space="preserve"> Finance Sub B.V.</w:t>
            </w:r>
          </w:p>
          <w:p w14:paraId="797CF8B3" w14:textId="77777777" w:rsidR="00DE6625" w:rsidRPr="00190E5F" w:rsidRDefault="00DE6625" w:rsidP="00DE6625">
            <w:pPr>
              <w:pStyle w:val="wText1"/>
              <w:spacing w:before="0"/>
              <w:ind w:left="0"/>
              <w:jc w:val="center"/>
              <w:rPr>
                <w:color w:val="000000" w:themeColor="text2"/>
              </w:rPr>
            </w:pPr>
            <w:proofErr w:type="spellStart"/>
            <w:r w:rsidRPr="00D57826">
              <w:t>Strawinskylaan</w:t>
            </w:r>
            <w:proofErr w:type="spellEnd"/>
            <w:r w:rsidRPr="00D57826">
              <w:t xml:space="preserve"> </w:t>
            </w:r>
            <w:r>
              <w:t>723</w:t>
            </w:r>
            <w:r w:rsidRPr="00D57826">
              <w:t xml:space="preserve"> (WTC Tower A, </w:t>
            </w:r>
            <w:r>
              <w:t>7</w:t>
            </w:r>
            <w:r w:rsidRPr="00D57826">
              <w:t>th Floor)</w:t>
            </w:r>
            <w:r w:rsidRPr="00D57826">
              <w:br/>
              <w:t>1077 XX Amsterdam</w:t>
            </w:r>
            <w:r w:rsidRPr="00D57826">
              <w:br/>
              <w:t>The Netherlands</w:t>
            </w:r>
          </w:p>
          <w:p w14:paraId="3BAF22EE" w14:textId="77777777" w:rsidR="00DE6625" w:rsidRDefault="00DE6625" w:rsidP="00DE6625">
            <w:pPr>
              <w:pStyle w:val="wText1"/>
              <w:ind w:left="0"/>
              <w:jc w:val="center"/>
              <w:rPr>
                <w:b/>
              </w:rPr>
            </w:pPr>
          </w:p>
        </w:tc>
      </w:tr>
    </w:tbl>
    <w:p w14:paraId="0477EC00" w14:textId="40BEE712" w:rsidR="00472929" w:rsidRPr="00472929" w:rsidRDefault="00472929" w:rsidP="00472929">
      <w:pPr>
        <w:pStyle w:val="BodyText"/>
        <w:jc w:val="center"/>
        <w:rPr>
          <w:b/>
          <w:bCs/>
          <w:sz w:val="20"/>
        </w:rPr>
      </w:pPr>
      <w:r w:rsidRPr="00472929">
        <w:rPr>
          <w:b/>
          <w:bCs/>
          <w:sz w:val="20"/>
        </w:rPr>
        <w:t>THE DEALER MANAGERS</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119"/>
        <w:gridCol w:w="3118"/>
      </w:tblGrid>
      <w:tr w:rsidR="000019F7" w14:paraId="5D1BD254" w14:textId="77777777" w:rsidTr="00E91086">
        <w:tc>
          <w:tcPr>
            <w:tcW w:w="3402" w:type="dxa"/>
          </w:tcPr>
          <w:p w14:paraId="5F5B1AF6" w14:textId="77777777" w:rsidR="006427F7" w:rsidRDefault="006427F7" w:rsidP="000019F7">
            <w:pPr>
              <w:pStyle w:val="wCenter"/>
            </w:pPr>
            <w:r w:rsidRPr="00EB6B32">
              <w:rPr>
                <w:b/>
                <w:bCs/>
              </w:rPr>
              <w:t>Citigroup</w:t>
            </w:r>
            <w:r w:rsidRPr="00EB6B32">
              <w:rPr>
                <w:b/>
                <w:bCs/>
                <w:spacing w:val="-4"/>
              </w:rPr>
              <w:t xml:space="preserve"> </w:t>
            </w:r>
            <w:r w:rsidRPr="00EB6B32">
              <w:rPr>
                <w:b/>
                <w:bCs/>
              </w:rPr>
              <w:t>Global</w:t>
            </w:r>
            <w:r w:rsidRPr="00EB6B32">
              <w:rPr>
                <w:b/>
                <w:bCs/>
                <w:spacing w:val="-5"/>
              </w:rPr>
              <w:t xml:space="preserve"> </w:t>
            </w:r>
            <w:r w:rsidRPr="00EB6B32">
              <w:rPr>
                <w:b/>
                <w:bCs/>
              </w:rPr>
              <w:t>Markets</w:t>
            </w:r>
            <w:r w:rsidRPr="00EB6B32">
              <w:rPr>
                <w:b/>
                <w:bCs/>
                <w:spacing w:val="-4"/>
              </w:rPr>
              <w:t xml:space="preserve"> </w:t>
            </w:r>
            <w:r w:rsidRPr="00EB6B32">
              <w:rPr>
                <w:b/>
                <w:bCs/>
                <w:spacing w:val="-2"/>
              </w:rPr>
              <w:t>Limited</w:t>
            </w:r>
            <w:r w:rsidRPr="00EB6B32">
              <w:rPr>
                <w:b/>
                <w:bCs/>
                <w:spacing w:val="-2"/>
              </w:rPr>
              <w:br/>
            </w:r>
            <w:r w:rsidRPr="00EB6B32">
              <w:t>Citigroup Centre</w:t>
            </w:r>
            <w:r w:rsidRPr="00EB6B32">
              <w:br/>
              <w:t>Canada Square</w:t>
            </w:r>
            <w:r w:rsidRPr="00EB6B32">
              <w:br/>
              <w:t>Canary Wharf</w:t>
            </w:r>
            <w:r w:rsidRPr="00EB6B32">
              <w:br/>
              <w:t>London</w:t>
            </w:r>
            <w:r w:rsidRPr="00EB6B32">
              <w:rPr>
                <w:spacing w:val="-13"/>
              </w:rPr>
              <w:t xml:space="preserve"> </w:t>
            </w:r>
            <w:r w:rsidRPr="00EB6B32">
              <w:t>E14</w:t>
            </w:r>
            <w:r w:rsidRPr="00EB6B32">
              <w:rPr>
                <w:spacing w:val="-12"/>
              </w:rPr>
              <w:t xml:space="preserve"> </w:t>
            </w:r>
            <w:r w:rsidRPr="00EB6B32">
              <w:t>5LB</w:t>
            </w:r>
            <w:r w:rsidRPr="00EB6B32">
              <w:br/>
              <w:t>United</w:t>
            </w:r>
            <w:r w:rsidRPr="00EB6B32">
              <w:rPr>
                <w:spacing w:val="-6"/>
              </w:rPr>
              <w:t xml:space="preserve"> </w:t>
            </w:r>
            <w:r w:rsidRPr="00EB6B32">
              <w:t>Kingdom</w:t>
            </w:r>
            <w:r w:rsidRPr="00EB6B32">
              <w:rPr>
                <w:spacing w:val="-6"/>
              </w:rPr>
              <w:br/>
            </w:r>
            <w:r w:rsidRPr="00EB6B32">
              <w:t>Telephone:</w:t>
            </w:r>
            <w:r w:rsidRPr="00EB6B32">
              <w:rPr>
                <w:spacing w:val="-8"/>
              </w:rPr>
              <w:t xml:space="preserve"> </w:t>
            </w:r>
            <w:r w:rsidRPr="00EB6B32">
              <w:t>+44</w:t>
            </w:r>
            <w:r w:rsidRPr="00EB6B32">
              <w:rPr>
                <w:spacing w:val="-7"/>
              </w:rPr>
              <w:t xml:space="preserve"> </w:t>
            </w:r>
            <w:r w:rsidRPr="00EB6B32">
              <w:t>20</w:t>
            </w:r>
            <w:r w:rsidRPr="00EB6B32">
              <w:rPr>
                <w:spacing w:val="-6"/>
              </w:rPr>
              <w:t xml:space="preserve"> </w:t>
            </w:r>
            <w:r w:rsidRPr="00EB6B32">
              <w:t>7986</w:t>
            </w:r>
            <w:r w:rsidRPr="00EB6B32">
              <w:rPr>
                <w:spacing w:val="-6"/>
              </w:rPr>
              <w:t xml:space="preserve"> </w:t>
            </w:r>
            <w:r w:rsidRPr="00EB6B32">
              <w:t>8969</w:t>
            </w:r>
            <w:r w:rsidRPr="00EB6B32">
              <w:br/>
              <w:t xml:space="preserve">E-mail: </w:t>
            </w:r>
            <w:hyperlink r:id="rId13" w:history="1">
              <w:r w:rsidRPr="00EB6B32">
                <w:rPr>
                  <w:rStyle w:val="Hyperlink"/>
                </w:rPr>
                <w:t>liabilitymanagement.europe@citi.com</w:t>
              </w:r>
            </w:hyperlink>
            <w:r w:rsidRPr="00EB6B32">
              <w:br/>
              <w:t>Attention: Liability Management Group</w:t>
            </w:r>
          </w:p>
          <w:p w14:paraId="45263EDC" w14:textId="77777777" w:rsidR="006427F7" w:rsidRDefault="006427F7" w:rsidP="00E91086">
            <w:pPr>
              <w:pStyle w:val="wText"/>
              <w:jc w:val="center"/>
            </w:pPr>
          </w:p>
        </w:tc>
        <w:tc>
          <w:tcPr>
            <w:tcW w:w="3119" w:type="dxa"/>
          </w:tcPr>
          <w:p w14:paraId="6746628C" w14:textId="77777777" w:rsidR="006427F7" w:rsidRDefault="006427F7" w:rsidP="000019F7">
            <w:pPr>
              <w:pStyle w:val="wText"/>
              <w:jc w:val="center"/>
            </w:pPr>
            <w:r w:rsidRPr="00EB6B32">
              <w:rPr>
                <w:b/>
              </w:rPr>
              <w:t>J.P.</w:t>
            </w:r>
            <w:r w:rsidRPr="00EB6B32">
              <w:rPr>
                <w:spacing w:val="-13"/>
              </w:rPr>
              <w:t xml:space="preserve"> </w:t>
            </w:r>
            <w:r w:rsidRPr="00EB6B32">
              <w:rPr>
                <w:b/>
              </w:rPr>
              <w:t>Morgan</w:t>
            </w:r>
            <w:r>
              <w:rPr>
                <w:b/>
              </w:rPr>
              <w:t xml:space="preserve"> Securities plc</w:t>
            </w:r>
            <w:r w:rsidRPr="00EB6B32">
              <w:br/>
            </w:r>
            <w:r w:rsidRPr="00035E4B">
              <w:t>25 Bank Street</w:t>
            </w:r>
            <w:r w:rsidRPr="00035E4B">
              <w:rPr>
                <w:spacing w:val="40"/>
              </w:rPr>
              <w:br/>
            </w:r>
            <w:r w:rsidRPr="00035E4B">
              <w:t>Canary Wharf</w:t>
            </w:r>
            <w:r w:rsidRPr="00035E4B">
              <w:rPr>
                <w:spacing w:val="40"/>
              </w:rPr>
              <w:br/>
            </w:r>
            <w:r w:rsidRPr="00035E4B">
              <w:t>London E14 5JP</w:t>
            </w:r>
            <w:r w:rsidRPr="00035E4B">
              <w:br/>
              <w:t>United Kingdom</w:t>
            </w:r>
            <w:r w:rsidRPr="00035E4B">
              <w:br/>
              <w:t>Telephone: +44 20 7134 2468</w:t>
            </w:r>
            <w:r w:rsidRPr="00035E4B">
              <w:br/>
              <w:t>E-mail:</w:t>
            </w:r>
            <w:r w:rsidRPr="00035E4B">
              <w:rPr>
                <w:spacing w:val="-13"/>
              </w:rPr>
              <w:t xml:space="preserve"> </w:t>
            </w:r>
            <w:hyperlink r:id="rId14" w:history="1">
              <w:r w:rsidRPr="00035E4B">
                <w:rPr>
                  <w:rStyle w:val="Hyperlink"/>
                </w:rPr>
                <w:t>em_europe_lm@jpmorgan.com</w:t>
              </w:r>
            </w:hyperlink>
            <w:r w:rsidRPr="00035E4B">
              <w:br/>
              <w:t>Attention: Liability Management</w:t>
            </w:r>
          </w:p>
        </w:tc>
        <w:tc>
          <w:tcPr>
            <w:tcW w:w="3118" w:type="dxa"/>
          </w:tcPr>
          <w:p w14:paraId="123F92E4" w14:textId="77777777" w:rsidR="006427F7" w:rsidRPr="00495235" w:rsidRDefault="006427F7" w:rsidP="000019F7">
            <w:pPr>
              <w:pStyle w:val="wText"/>
              <w:spacing w:after="0"/>
              <w:jc w:val="center"/>
              <w:rPr>
                <w:b/>
                <w:bCs/>
                <w:szCs w:val="20"/>
              </w:rPr>
            </w:pPr>
            <w:r w:rsidRPr="00495235">
              <w:rPr>
                <w:b/>
                <w:bCs/>
                <w:szCs w:val="20"/>
              </w:rPr>
              <w:t xml:space="preserve">J.P. Morgan </w:t>
            </w:r>
            <w:r>
              <w:rPr>
                <w:b/>
                <w:bCs/>
                <w:szCs w:val="20"/>
              </w:rPr>
              <w:t>SE</w:t>
            </w:r>
          </w:p>
          <w:p w14:paraId="2BF2FC3D" w14:textId="77777777" w:rsidR="006427F7" w:rsidRPr="0058362A" w:rsidRDefault="006427F7" w:rsidP="000019F7">
            <w:pPr>
              <w:keepNext/>
              <w:jc w:val="center"/>
              <w:rPr>
                <w:szCs w:val="20"/>
              </w:rPr>
            </w:pPr>
            <w:proofErr w:type="spellStart"/>
            <w:r w:rsidRPr="0058362A">
              <w:rPr>
                <w:szCs w:val="20"/>
              </w:rPr>
              <w:t>Taunustor</w:t>
            </w:r>
            <w:proofErr w:type="spellEnd"/>
            <w:r w:rsidRPr="0058362A">
              <w:rPr>
                <w:szCs w:val="20"/>
              </w:rPr>
              <w:t xml:space="preserve"> 1 (</w:t>
            </w:r>
            <w:proofErr w:type="spellStart"/>
            <w:r w:rsidRPr="0058362A">
              <w:rPr>
                <w:szCs w:val="20"/>
              </w:rPr>
              <w:t>TaunusTurm</w:t>
            </w:r>
            <w:proofErr w:type="spellEnd"/>
            <w:r w:rsidRPr="0058362A">
              <w:rPr>
                <w:szCs w:val="20"/>
              </w:rPr>
              <w:t>)</w:t>
            </w:r>
          </w:p>
          <w:p w14:paraId="23C3679C" w14:textId="77777777" w:rsidR="006427F7" w:rsidRPr="0058362A" w:rsidRDefault="006427F7" w:rsidP="000019F7">
            <w:pPr>
              <w:keepNext/>
              <w:jc w:val="center"/>
              <w:rPr>
                <w:szCs w:val="20"/>
              </w:rPr>
            </w:pPr>
            <w:r w:rsidRPr="0058362A">
              <w:rPr>
                <w:szCs w:val="20"/>
              </w:rPr>
              <w:t xml:space="preserve">60310 Frankfurt am </w:t>
            </w:r>
            <w:proofErr w:type="gramStart"/>
            <w:r w:rsidRPr="0058362A">
              <w:rPr>
                <w:szCs w:val="20"/>
              </w:rPr>
              <w:t>Main</w:t>
            </w:r>
            <w:proofErr w:type="gramEnd"/>
          </w:p>
          <w:p w14:paraId="1A6A8F09" w14:textId="77777777" w:rsidR="006427F7" w:rsidRDefault="006427F7" w:rsidP="000019F7">
            <w:pPr>
              <w:keepNext/>
              <w:jc w:val="center"/>
              <w:rPr>
                <w:szCs w:val="20"/>
              </w:rPr>
            </w:pPr>
            <w:r w:rsidRPr="0058362A">
              <w:rPr>
                <w:szCs w:val="20"/>
              </w:rPr>
              <w:t>Germany</w:t>
            </w:r>
          </w:p>
          <w:p w14:paraId="04FE0B10" w14:textId="77777777" w:rsidR="006427F7" w:rsidRPr="00495235" w:rsidRDefault="006427F7" w:rsidP="000019F7">
            <w:pPr>
              <w:pStyle w:val="wText"/>
              <w:spacing w:after="0"/>
              <w:jc w:val="center"/>
              <w:rPr>
                <w:bCs/>
                <w:szCs w:val="20"/>
              </w:rPr>
            </w:pPr>
            <w:r w:rsidRPr="00495235">
              <w:rPr>
                <w:bCs/>
                <w:szCs w:val="20"/>
              </w:rPr>
              <w:t xml:space="preserve">E-mail: </w:t>
            </w:r>
            <w:hyperlink r:id="rId15" w:history="1">
              <w:r w:rsidRPr="003A6058">
                <w:rPr>
                  <w:rStyle w:val="Hyperlink"/>
                  <w:bCs/>
                  <w:szCs w:val="20"/>
                </w:rPr>
                <w:t>em_europe_lm@jpmorgan.com</w:t>
              </w:r>
            </w:hyperlink>
          </w:p>
          <w:p w14:paraId="20FB2088" w14:textId="77777777" w:rsidR="006427F7" w:rsidRDefault="006427F7" w:rsidP="000019F7">
            <w:pPr>
              <w:pStyle w:val="wText"/>
              <w:jc w:val="center"/>
            </w:pPr>
            <w:r w:rsidRPr="00495235">
              <w:rPr>
                <w:bCs/>
                <w:szCs w:val="20"/>
              </w:rPr>
              <w:t>Attention: Liability Management</w:t>
            </w:r>
          </w:p>
        </w:tc>
      </w:tr>
    </w:tbl>
    <w:p w14:paraId="526973F7" w14:textId="77777777" w:rsidR="00AA61FF" w:rsidRDefault="00AA61FF" w:rsidP="00AA61FF">
      <w:pPr>
        <w:jc w:val="center"/>
        <w:rPr>
          <w:b/>
        </w:rPr>
      </w:pPr>
    </w:p>
    <w:p w14:paraId="11309771" w14:textId="65FC1A6F" w:rsidR="00472929" w:rsidRPr="00472929" w:rsidRDefault="00472929" w:rsidP="000019F7">
      <w:pPr>
        <w:pStyle w:val="wCenter"/>
        <w:spacing w:after="0"/>
        <w:rPr>
          <w:rFonts w:eastAsia="Times New Roman"/>
          <w:b/>
          <w:bCs/>
          <w:iCs/>
          <w:color w:val="000000" w:themeColor="text2"/>
        </w:rPr>
      </w:pPr>
      <w:r w:rsidRPr="00472929">
        <w:rPr>
          <w:rFonts w:eastAsia="Times New Roman"/>
          <w:b/>
          <w:bCs/>
          <w:iCs/>
          <w:color w:val="000000" w:themeColor="text2"/>
        </w:rPr>
        <w:t>THE TENDER AND INFORMATION AGENT</w:t>
      </w:r>
    </w:p>
    <w:p w14:paraId="136BEB6A" w14:textId="77777777" w:rsidR="00647E67" w:rsidRPr="00EB6B32" w:rsidRDefault="00237A4A" w:rsidP="00647E67">
      <w:pPr>
        <w:pStyle w:val="wCenter"/>
        <w:spacing w:after="0"/>
      </w:pPr>
      <w:r w:rsidRPr="00190E5F">
        <w:rPr>
          <w:rFonts w:eastAsia="Times New Roman"/>
          <w:i/>
          <w:color w:val="000000" w:themeColor="text2"/>
        </w:rPr>
        <w:br/>
      </w:r>
      <w:r w:rsidR="000019F7" w:rsidRPr="00EB6B32">
        <w:rPr>
          <w:b/>
          <w:bCs/>
        </w:rPr>
        <w:t>Kroll</w:t>
      </w:r>
      <w:r w:rsidR="000019F7" w:rsidRPr="00EB6B32">
        <w:rPr>
          <w:b/>
          <w:bCs/>
          <w:spacing w:val="-2"/>
        </w:rPr>
        <w:t xml:space="preserve"> </w:t>
      </w:r>
      <w:r w:rsidR="000019F7" w:rsidRPr="00EB6B32">
        <w:rPr>
          <w:b/>
          <w:bCs/>
        </w:rPr>
        <w:t>Issuer</w:t>
      </w:r>
      <w:r w:rsidR="000019F7" w:rsidRPr="00EB6B32">
        <w:rPr>
          <w:b/>
          <w:bCs/>
          <w:spacing w:val="-2"/>
        </w:rPr>
        <w:t xml:space="preserve"> </w:t>
      </w:r>
      <w:r w:rsidR="000019F7" w:rsidRPr="00EB6B32">
        <w:rPr>
          <w:b/>
          <w:bCs/>
        </w:rPr>
        <w:t>Services</w:t>
      </w:r>
      <w:r w:rsidR="000019F7" w:rsidRPr="00EB6B32">
        <w:rPr>
          <w:b/>
          <w:bCs/>
          <w:spacing w:val="-1"/>
        </w:rPr>
        <w:t xml:space="preserve"> </w:t>
      </w:r>
      <w:r w:rsidR="000019F7" w:rsidRPr="00EB6B32">
        <w:rPr>
          <w:b/>
          <w:bCs/>
          <w:spacing w:val="-2"/>
        </w:rPr>
        <w:t>Limited</w:t>
      </w:r>
      <w:r w:rsidR="000019F7" w:rsidRPr="00EB6B32">
        <w:rPr>
          <w:b/>
          <w:bCs/>
          <w:spacing w:val="-2"/>
        </w:rPr>
        <w:br/>
      </w:r>
      <w:r w:rsidR="000019F7" w:rsidRPr="00EB6B32">
        <w:t>The</w:t>
      </w:r>
      <w:r w:rsidR="000019F7" w:rsidRPr="00EB6B32">
        <w:rPr>
          <w:spacing w:val="-1"/>
        </w:rPr>
        <w:t xml:space="preserve"> </w:t>
      </w:r>
      <w:r w:rsidR="000019F7" w:rsidRPr="00EB6B32">
        <w:rPr>
          <w:spacing w:val="-2"/>
        </w:rPr>
        <w:t>Shard</w:t>
      </w:r>
      <w:r w:rsidR="000019F7" w:rsidRPr="00EB6B32">
        <w:rPr>
          <w:spacing w:val="-2"/>
        </w:rPr>
        <w:br/>
      </w:r>
      <w:r w:rsidR="000019F7" w:rsidRPr="00EB6B32">
        <w:t>32</w:t>
      </w:r>
      <w:r w:rsidR="000019F7" w:rsidRPr="00EB6B32">
        <w:rPr>
          <w:spacing w:val="-12"/>
        </w:rPr>
        <w:t xml:space="preserve"> </w:t>
      </w:r>
      <w:r w:rsidR="000019F7" w:rsidRPr="00EB6B32">
        <w:t>London</w:t>
      </w:r>
      <w:r w:rsidR="000019F7" w:rsidRPr="00EB6B32">
        <w:rPr>
          <w:spacing w:val="-12"/>
        </w:rPr>
        <w:t xml:space="preserve"> </w:t>
      </w:r>
      <w:r w:rsidR="000019F7" w:rsidRPr="00EB6B32">
        <w:t>Bridge</w:t>
      </w:r>
      <w:r w:rsidR="000019F7" w:rsidRPr="00EB6B32">
        <w:rPr>
          <w:spacing w:val="-13"/>
        </w:rPr>
        <w:t xml:space="preserve"> </w:t>
      </w:r>
      <w:r w:rsidR="000019F7" w:rsidRPr="00EB6B32">
        <w:t>Street</w:t>
      </w:r>
      <w:r w:rsidR="000019F7" w:rsidRPr="00EB6B32">
        <w:br/>
      </w:r>
      <w:r w:rsidR="000019F7" w:rsidRPr="00EB6B32">
        <w:rPr>
          <w:spacing w:val="-2"/>
        </w:rPr>
        <w:t>London</w:t>
      </w:r>
      <w:r w:rsidR="000019F7" w:rsidRPr="00EB6B32">
        <w:rPr>
          <w:spacing w:val="-2"/>
        </w:rPr>
        <w:br/>
      </w:r>
      <w:r w:rsidR="000019F7" w:rsidRPr="00EB6B32">
        <w:t xml:space="preserve">SE1 </w:t>
      </w:r>
      <w:r w:rsidR="000019F7" w:rsidRPr="00EB6B32">
        <w:rPr>
          <w:spacing w:val="-5"/>
        </w:rPr>
        <w:t>9SG</w:t>
      </w:r>
      <w:r w:rsidR="000019F7" w:rsidRPr="00EB6B32">
        <w:rPr>
          <w:spacing w:val="-5"/>
        </w:rPr>
        <w:br/>
      </w:r>
      <w:r w:rsidR="000019F7" w:rsidRPr="00EB6B32">
        <w:t>United Kingdom</w:t>
      </w:r>
      <w:r w:rsidR="000019F7" w:rsidRPr="00EB6B32">
        <w:br/>
        <w:t>Telephone:</w:t>
      </w:r>
      <w:r w:rsidR="000019F7" w:rsidRPr="00EB6B32">
        <w:rPr>
          <w:spacing w:val="34"/>
        </w:rPr>
        <w:t xml:space="preserve"> </w:t>
      </w:r>
      <w:r w:rsidR="000019F7" w:rsidRPr="00EB6B32">
        <w:t>+44</w:t>
      </w:r>
      <w:r w:rsidR="000019F7" w:rsidRPr="00EB6B32">
        <w:rPr>
          <w:spacing w:val="-8"/>
        </w:rPr>
        <w:t xml:space="preserve"> </w:t>
      </w:r>
      <w:r w:rsidR="000019F7" w:rsidRPr="00EB6B32">
        <w:t>20</w:t>
      </w:r>
      <w:r w:rsidR="000019F7" w:rsidRPr="00EB6B32">
        <w:rPr>
          <w:spacing w:val="-8"/>
        </w:rPr>
        <w:t xml:space="preserve"> </w:t>
      </w:r>
      <w:r w:rsidR="000019F7" w:rsidRPr="00EB6B32">
        <w:t>7704</w:t>
      </w:r>
      <w:r w:rsidR="000019F7" w:rsidRPr="00EB6B32">
        <w:rPr>
          <w:spacing w:val="-8"/>
        </w:rPr>
        <w:t xml:space="preserve"> </w:t>
      </w:r>
      <w:r w:rsidR="000019F7" w:rsidRPr="00EB6B32">
        <w:t>0880</w:t>
      </w:r>
      <w:r w:rsidR="000019F7" w:rsidRPr="00EB6B32">
        <w:br/>
      </w:r>
      <w:r w:rsidR="00647E67" w:rsidRPr="00EB6B32">
        <w:t xml:space="preserve">Attention: </w:t>
      </w:r>
      <w:r w:rsidR="00647E67">
        <w:t>David Shilson</w:t>
      </w:r>
      <w:r w:rsidR="00647E67" w:rsidRPr="00EB6B32">
        <w:br/>
        <w:t>Email:</w:t>
      </w:r>
      <w:r w:rsidR="00647E67" w:rsidRPr="00EB6B32">
        <w:rPr>
          <w:spacing w:val="-13"/>
        </w:rPr>
        <w:t xml:space="preserve"> </w:t>
      </w:r>
      <w:hyperlink r:id="rId16" w:history="1">
        <w:r w:rsidR="00647E67" w:rsidRPr="004841A1">
          <w:rPr>
            <w:rStyle w:val="Hyperlink"/>
            <w:spacing w:val="-13"/>
          </w:rPr>
          <w:t>kmg@is.kroll.com</w:t>
        </w:r>
      </w:hyperlink>
      <w:r w:rsidR="00647E67">
        <w:rPr>
          <w:spacing w:val="-13"/>
        </w:rPr>
        <w:t xml:space="preserve"> </w:t>
      </w:r>
    </w:p>
    <w:p w14:paraId="2E330492" w14:textId="77777777" w:rsidR="00647E67" w:rsidRPr="00EB6B32" w:rsidRDefault="00647E67" w:rsidP="00647E67">
      <w:pPr>
        <w:pStyle w:val="wCenter"/>
      </w:pPr>
      <w:r w:rsidRPr="00EB6B32">
        <w:t>Website:</w:t>
      </w:r>
      <w:r w:rsidRPr="00EB6B32">
        <w:rPr>
          <w:spacing w:val="-4"/>
        </w:rPr>
        <w:t xml:space="preserve"> </w:t>
      </w:r>
      <w:hyperlink r:id="rId17" w:history="1">
        <w:r w:rsidRPr="004841A1">
          <w:rPr>
            <w:rStyle w:val="Hyperlink"/>
            <w:spacing w:val="-4"/>
          </w:rPr>
          <w:t>https://deals.is.kroll.com/kmg</w:t>
        </w:r>
      </w:hyperlink>
      <w:r>
        <w:rPr>
          <w:spacing w:val="-4"/>
        </w:rPr>
        <w:t xml:space="preserve"> </w:t>
      </w:r>
    </w:p>
    <w:p w14:paraId="39B936EC" w14:textId="77777777" w:rsidR="00AA61FF" w:rsidRDefault="00237A4A">
      <w:pPr>
        <w:spacing w:after="200" w:line="2" w:lineRule="auto"/>
        <w:rPr>
          <w:rFonts w:cstheme="minorHAnsi"/>
          <w:color w:val="000000" w:themeColor="text2"/>
          <w:szCs w:val="22"/>
        </w:rPr>
      </w:pPr>
      <w:r>
        <w:rPr>
          <w:rFonts w:cstheme="minorHAnsi"/>
          <w:szCs w:val="22"/>
        </w:rPr>
        <w:br w:type="page"/>
      </w:r>
    </w:p>
    <w:p w14:paraId="117CBCC6" w14:textId="77777777" w:rsidR="003773FD" w:rsidRPr="00190E5F" w:rsidRDefault="00237A4A" w:rsidP="00BB1677">
      <w:pPr>
        <w:pStyle w:val="BodyText"/>
        <w:rPr>
          <w:rFonts w:cstheme="minorHAnsi"/>
          <w:szCs w:val="22"/>
        </w:rPr>
      </w:pPr>
      <w:r w:rsidRPr="00190E5F">
        <w:rPr>
          <w:rFonts w:cstheme="minorHAnsi"/>
          <w:szCs w:val="22"/>
        </w:rPr>
        <w:lastRenderedPageBreak/>
        <w:t>DISCLAIMER</w:t>
      </w:r>
    </w:p>
    <w:p w14:paraId="7962C4E1" w14:textId="2F8D67F4" w:rsidR="00BB1677" w:rsidRPr="00190E5F" w:rsidRDefault="00237A4A" w:rsidP="003773FD">
      <w:pPr>
        <w:pStyle w:val="BodyText"/>
        <w:jc w:val="both"/>
        <w:rPr>
          <w:rFonts w:cstheme="minorHAnsi"/>
          <w:szCs w:val="22"/>
        </w:rPr>
      </w:pPr>
      <w:r w:rsidRPr="00190E5F">
        <w:rPr>
          <w:rFonts w:cstheme="minorHAnsi"/>
          <w:szCs w:val="22"/>
        </w:rPr>
        <w:t xml:space="preserve">This announcement must be read in conjunction with the </w:t>
      </w:r>
      <w:r w:rsidR="00497C1D">
        <w:rPr>
          <w:rFonts w:cstheme="minorHAnsi"/>
          <w:szCs w:val="22"/>
        </w:rPr>
        <w:t>Offer to Purchase</w:t>
      </w:r>
      <w:r w:rsidRPr="00190E5F">
        <w:rPr>
          <w:rFonts w:cstheme="minorHAnsi"/>
          <w:szCs w:val="22"/>
        </w:rPr>
        <w:t>.</w:t>
      </w:r>
      <w:r w:rsidR="00BF0283" w:rsidRPr="00190E5F">
        <w:rPr>
          <w:rFonts w:cstheme="minorHAnsi"/>
          <w:szCs w:val="22"/>
        </w:rPr>
        <w:t xml:space="preserve"> </w:t>
      </w:r>
      <w:r w:rsidRPr="00190E5F">
        <w:rPr>
          <w:rFonts w:cstheme="minorHAnsi"/>
          <w:szCs w:val="22"/>
        </w:rPr>
        <w:t xml:space="preserve">This announcement and the </w:t>
      </w:r>
      <w:r w:rsidR="00497C1D">
        <w:rPr>
          <w:rFonts w:cstheme="minorHAnsi"/>
          <w:szCs w:val="22"/>
        </w:rPr>
        <w:t>Offer to Purchase</w:t>
      </w:r>
      <w:r w:rsidRPr="00190E5F">
        <w:rPr>
          <w:rFonts w:cstheme="minorHAnsi"/>
          <w:szCs w:val="22"/>
        </w:rPr>
        <w:t xml:space="preserve"> contain important information which should be read carefully before any decision is made with respect to the </w:t>
      </w:r>
      <w:r w:rsidR="008C4839">
        <w:rPr>
          <w:rFonts w:cstheme="minorHAnsi"/>
          <w:szCs w:val="22"/>
        </w:rPr>
        <w:t xml:space="preserve">Tender </w:t>
      </w:r>
      <w:r w:rsidR="003773FD" w:rsidRPr="00190E5F">
        <w:rPr>
          <w:rFonts w:cstheme="minorHAnsi"/>
          <w:szCs w:val="22"/>
        </w:rPr>
        <w:t>Offer</w:t>
      </w:r>
      <w:r w:rsidRPr="00190E5F">
        <w:rPr>
          <w:rFonts w:cstheme="minorHAnsi"/>
          <w:szCs w:val="22"/>
        </w:rPr>
        <w:t>.</w:t>
      </w:r>
      <w:r w:rsidR="00BF0283" w:rsidRPr="00190E5F">
        <w:rPr>
          <w:rFonts w:cstheme="minorHAnsi"/>
          <w:szCs w:val="22"/>
        </w:rPr>
        <w:t xml:space="preserve"> </w:t>
      </w:r>
      <w:r w:rsidRPr="00190E5F">
        <w:rPr>
          <w:rFonts w:cstheme="minorHAnsi"/>
          <w:szCs w:val="22"/>
        </w:rPr>
        <w:t xml:space="preserve">If you are in any doubt as to the contents of this announcement or the </w:t>
      </w:r>
      <w:r w:rsidR="00497C1D">
        <w:rPr>
          <w:rFonts w:cstheme="minorHAnsi"/>
          <w:szCs w:val="22"/>
        </w:rPr>
        <w:t>Offer to Purchase</w:t>
      </w:r>
      <w:r w:rsidRPr="00190E5F">
        <w:rPr>
          <w:rFonts w:cstheme="minorHAnsi"/>
          <w:szCs w:val="22"/>
        </w:rPr>
        <w:t xml:space="preserve"> or the action you should take, you are recommended to seek your own financial and legal advice, including </w:t>
      </w:r>
      <w:r w:rsidR="00A94A9D" w:rsidRPr="00190E5F">
        <w:rPr>
          <w:rFonts w:cstheme="minorHAnsi"/>
          <w:szCs w:val="22"/>
        </w:rPr>
        <w:t xml:space="preserve">in respect of </w:t>
      </w:r>
      <w:r w:rsidRPr="00190E5F">
        <w:rPr>
          <w:rFonts w:cstheme="minorHAnsi"/>
          <w:szCs w:val="22"/>
        </w:rPr>
        <w:t xml:space="preserve">any tax consequences, immediately from your stockbroker, bank manager, </w:t>
      </w:r>
      <w:r w:rsidR="00A94A9D" w:rsidRPr="00190E5F">
        <w:rPr>
          <w:rFonts w:cstheme="minorHAnsi"/>
          <w:szCs w:val="22"/>
        </w:rPr>
        <w:t>legal adviser</w:t>
      </w:r>
      <w:r w:rsidRPr="00190E5F">
        <w:rPr>
          <w:rFonts w:cstheme="minorHAnsi"/>
          <w:szCs w:val="22"/>
        </w:rPr>
        <w:t xml:space="preserve">, </w:t>
      </w:r>
      <w:proofErr w:type="gramStart"/>
      <w:r w:rsidRPr="00190E5F">
        <w:rPr>
          <w:rFonts w:cstheme="minorHAnsi"/>
          <w:szCs w:val="22"/>
        </w:rPr>
        <w:t>accountant</w:t>
      </w:r>
      <w:proofErr w:type="gramEnd"/>
      <w:r w:rsidRPr="00190E5F">
        <w:rPr>
          <w:rFonts w:cstheme="minorHAnsi"/>
          <w:szCs w:val="22"/>
        </w:rPr>
        <w:t xml:space="preserve"> or other independent financial adviser. Any individual or company whose Notes are held on its behalf by a broker, dealer, bank, custodian, trust company or other nominee or intermediary must contact such entity if it wishes to </w:t>
      </w:r>
      <w:r w:rsidR="00A224BC">
        <w:rPr>
          <w:rFonts w:cstheme="minorHAnsi"/>
          <w:szCs w:val="22"/>
        </w:rPr>
        <w:t>tender</w:t>
      </w:r>
      <w:r w:rsidRPr="00190E5F">
        <w:rPr>
          <w:rFonts w:cstheme="minorHAnsi"/>
          <w:szCs w:val="22"/>
        </w:rPr>
        <w:t xml:space="preserve"> Notes for </w:t>
      </w:r>
      <w:r w:rsidR="00A224BC">
        <w:rPr>
          <w:rFonts w:cstheme="minorHAnsi"/>
          <w:szCs w:val="22"/>
        </w:rPr>
        <w:t>purchase</w:t>
      </w:r>
      <w:r w:rsidRPr="00190E5F">
        <w:rPr>
          <w:rFonts w:cstheme="minorHAnsi"/>
          <w:szCs w:val="22"/>
        </w:rPr>
        <w:t xml:space="preserve"> pursuant to the </w:t>
      </w:r>
      <w:r w:rsidR="00A224BC">
        <w:rPr>
          <w:rFonts w:cstheme="minorHAnsi"/>
          <w:szCs w:val="22"/>
        </w:rPr>
        <w:t xml:space="preserve">Tender </w:t>
      </w:r>
      <w:r w:rsidR="003773FD" w:rsidRPr="00190E5F">
        <w:rPr>
          <w:rFonts w:cstheme="minorHAnsi"/>
          <w:szCs w:val="22"/>
        </w:rPr>
        <w:t>Offer</w:t>
      </w:r>
      <w:r w:rsidRPr="00190E5F">
        <w:rPr>
          <w:rFonts w:cstheme="minorHAnsi"/>
          <w:szCs w:val="22"/>
        </w:rPr>
        <w:t xml:space="preserve">. </w:t>
      </w:r>
      <w:r w:rsidR="004A5A2D" w:rsidRPr="00190E5F">
        <w:rPr>
          <w:rFonts w:cstheme="minorHAnsi"/>
          <w:szCs w:val="22"/>
        </w:rPr>
        <w:t>For the avoidance of doubt, n</w:t>
      </w:r>
      <w:r w:rsidRPr="00190E5F">
        <w:rPr>
          <w:rFonts w:cstheme="minorHAnsi"/>
          <w:szCs w:val="22"/>
        </w:rPr>
        <w:t xml:space="preserve">one of the Dealer Managers, the </w:t>
      </w:r>
      <w:r w:rsidR="00A224BC">
        <w:rPr>
          <w:rFonts w:cstheme="minorHAnsi"/>
          <w:szCs w:val="22"/>
        </w:rPr>
        <w:t xml:space="preserve">Tender and </w:t>
      </w:r>
      <w:r w:rsidR="008C4839">
        <w:rPr>
          <w:rFonts w:cstheme="minorHAnsi"/>
          <w:szCs w:val="22"/>
        </w:rPr>
        <w:t xml:space="preserve">Information </w:t>
      </w:r>
      <w:r w:rsidR="00A224BC">
        <w:rPr>
          <w:rFonts w:cstheme="minorHAnsi"/>
          <w:szCs w:val="22"/>
        </w:rPr>
        <w:t xml:space="preserve">Agent, </w:t>
      </w:r>
      <w:r w:rsidRPr="00190E5F">
        <w:rPr>
          <w:rFonts w:cstheme="minorHAnsi"/>
          <w:szCs w:val="22"/>
        </w:rPr>
        <w:t xml:space="preserve">the </w:t>
      </w:r>
      <w:r w:rsidR="007F7F91" w:rsidRPr="00190E5F">
        <w:rPr>
          <w:rFonts w:cstheme="minorHAnsi"/>
          <w:szCs w:val="22"/>
        </w:rPr>
        <w:t>Issuer</w:t>
      </w:r>
      <w:r w:rsidR="00A224BC">
        <w:rPr>
          <w:rFonts w:cstheme="minorHAnsi"/>
          <w:szCs w:val="22"/>
        </w:rPr>
        <w:t xml:space="preserve"> or KMG Finance</w:t>
      </w:r>
      <w:r w:rsidRPr="00190E5F">
        <w:rPr>
          <w:rFonts w:cstheme="minorHAnsi"/>
          <w:szCs w:val="22"/>
        </w:rPr>
        <w:t xml:space="preserve"> makes any recommendation as to whether </w:t>
      </w:r>
      <w:r w:rsidR="003773FD" w:rsidRPr="00190E5F">
        <w:rPr>
          <w:rFonts w:cstheme="minorHAnsi"/>
          <w:szCs w:val="22"/>
        </w:rPr>
        <w:t>Holders</w:t>
      </w:r>
      <w:r w:rsidRPr="00190E5F">
        <w:rPr>
          <w:rFonts w:cstheme="minorHAnsi"/>
          <w:szCs w:val="22"/>
        </w:rPr>
        <w:t xml:space="preserve"> should </w:t>
      </w:r>
      <w:r w:rsidR="003773FD" w:rsidRPr="00190E5F">
        <w:rPr>
          <w:rFonts w:cstheme="minorHAnsi"/>
          <w:szCs w:val="22"/>
        </w:rPr>
        <w:t>participate in</w:t>
      </w:r>
      <w:r w:rsidRPr="00190E5F">
        <w:rPr>
          <w:rFonts w:cstheme="minorHAnsi"/>
          <w:szCs w:val="22"/>
        </w:rPr>
        <w:t xml:space="preserve"> the </w:t>
      </w:r>
      <w:r w:rsidR="008C4839">
        <w:rPr>
          <w:rFonts w:cstheme="minorHAnsi"/>
          <w:szCs w:val="22"/>
        </w:rPr>
        <w:t xml:space="preserve">Tender </w:t>
      </w:r>
      <w:r w:rsidR="003773FD" w:rsidRPr="00190E5F">
        <w:rPr>
          <w:rFonts w:cstheme="minorHAnsi"/>
          <w:szCs w:val="22"/>
        </w:rPr>
        <w:t>Offer</w:t>
      </w:r>
      <w:r w:rsidR="004A5A2D" w:rsidRPr="00190E5F">
        <w:rPr>
          <w:rFonts w:cstheme="minorHAnsi"/>
          <w:szCs w:val="22"/>
        </w:rPr>
        <w:t xml:space="preserve"> or otherwise provides any legal, business, </w:t>
      </w:r>
      <w:proofErr w:type="gramStart"/>
      <w:r w:rsidR="004A5A2D" w:rsidRPr="00190E5F">
        <w:rPr>
          <w:rFonts w:cstheme="minorHAnsi"/>
          <w:szCs w:val="22"/>
        </w:rPr>
        <w:t>tax</w:t>
      </w:r>
      <w:proofErr w:type="gramEnd"/>
      <w:r w:rsidR="004A5A2D" w:rsidRPr="00190E5F">
        <w:rPr>
          <w:rFonts w:cstheme="minorHAnsi"/>
          <w:szCs w:val="22"/>
        </w:rPr>
        <w:t xml:space="preserve"> or other advice in connection with the </w:t>
      </w:r>
      <w:r w:rsidR="008C4839">
        <w:rPr>
          <w:rFonts w:cstheme="minorHAnsi"/>
          <w:szCs w:val="22"/>
        </w:rPr>
        <w:t xml:space="preserve">Tender </w:t>
      </w:r>
      <w:r w:rsidR="004A5A2D" w:rsidRPr="00190E5F">
        <w:rPr>
          <w:rFonts w:cstheme="minorHAnsi"/>
          <w:szCs w:val="22"/>
        </w:rPr>
        <w:t>Offer</w:t>
      </w:r>
      <w:r w:rsidRPr="00190E5F">
        <w:rPr>
          <w:rFonts w:cstheme="minorHAnsi"/>
          <w:szCs w:val="22"/>
        </w:rPr>
        <w:t>.</w:t>
      </w:r>
    </w:p>
    <w:p w14:paraId="5D27DA7B" w14:textId="0D168D34" w:rsidR="00A94A9D" w:rsidRPr="00190E5F" w:rsidRDefault="00237A4A" w:rsidP="00BF0283">
      <w:pPr>
        <w:pStyle w:val="BodyText"/>
        <w:jc w:val="both"/>
        <w:rPr>
          <w:rFonts w:cstheme="minorHAnsi"/>
          <w:szCs w:val="22"/>
        </w:rPr>
      </w:pPr>
      <w:r w:rsidRPr="00190E5F">
        <w:rPr>
          <w:rFonts w:cstheme="minorHAnsi"/>
          <w:szCs w:val="22"/>
        </w:rPr>
        <w:t xml:space="preserve">This announcement is for informational purposes only. The </w:t>
      </w:r>
      <w:r w:rsidR="008C4839">
        <w:rPr>
          <w:rFonts w:cstheme="minorHAnsi"/>
          <w:szCs w:val="22"/>
        </w:rPr>
        <w:t xml:space="preserve">Tender </w:t>
      </w:r>
      <w:r w:rsidRPr="00190E5F">
        <w:rPr>
          <w:rFonts w:cstheme="minorHAnsi"/>
          <w:szCs w:val="22"/>
        </w:rPr>
        <w:t>Offer</w:t>
      </w:r>
      <w:r w:rsidR="008C4839">
        <w:rPr>
          <w:rFonts w:cstheme="minorHAnsi"/>
          <w:szCs w:val="22"/>
        </w:rPr>
        <w:t xml:space="preserve"> is</w:t>
      </w:r>
      <w:r w:rsidR="00A224BC">
        <w:rPr>
          <w:rFonts w:cstheme="minorHAnsi"/>
          <w:szCs w:val="22"/>
        </w:rPr>
        <w:t xml:space="preserve"> </w:t>
      </w:r>
      <w:r w:rsidRPr="00190E5F">
        <w:rPr>
          <w:rFonts w:cstheme="minorHAnsi"/>
          <w:szCs w:val="22"/>
        </w:rPr>
        <w:t xml:space="preserve">being made only pursuant to the </w:t>
      </w:r>
      <w:r w:rsidR="00497C1D">
        <w:rPr>
          <w:rFonts w:cstheme="minorHAnsi"/>
          <w:szCs w:val="22"/>
        </w:rPr>
        <w:t>Offer to Purchase</w:t>
      </w:r>
      <w:r w:rsidRPr="00190E5F">
        <w:rPr>
          <w:rFonts w:cstheme="minorHAnsi"/>
          <w:szCs w:val="22"/>
        </w:rPr>
        <w:t xml:space="preserve"> and only in such jurisdictions as is permitted under applicable la</w:t>
      </w:r>
      <w:r w:rsidR="00461677" w:rsidRPr="00190E5F">
        <w:rPr>
          <w:rFonts w:cstheme="minorHAnsi"/>
          <w:szCs w:val="22"/>
        </w:rPr>
        <w:t xml:space="preserve">w. None of this </w:t>
      </w:r>
      <w:r w:rsidR="00461677" w:rsidRPr="00190E5F">
        <w:rPr>
          <w:rFonts w:eastAsia="Times New Roman"/>
          <w:szCs w:val="22"/>
        </w:rPr>
        <w:t xml:space="preserve">announcement, the </w:t>
      </w:r>
      <w:r w:rsidR="00497C1D">
        <w:rPr>
          <w:rFonts w:cstheme="minorHAnsi"/>
          <w:szCs w:val="22"/>
        </w:rPr>
        <w:t>Offer to Purchase</w:t>
      </w:r>
      <w:r w:rsidR="00266559" w:rsidRPr="00190E5F">
        <w:rPr>
          <w:rFonts w:cstheme="minorHAnsi"/>
          <w:szCs w:val="22"/>
        </w:rPr>
        <w:t xml:space="preserve"> nor</w:t>
      </w:r>
      <w:r w:rsidR="00461677" w:rsidRPr="00190E5F">
        <w:rPr>
          <w:rFonts w:cstheme="minorHAnsi"/>
          <w:szCs w:val="22"/>
        </w:rPr>
        <w:t xml:space="preserve"> any other document</w:t>
      </w:r>
      <w:r w:rsidR="00266559" w:rsidRPr="00190E5F">
        <w:rPr>
          <w:rFonts w:cstheme="minorHAnsi"/>
          <w:szCs w:val="22"/>
        </w:rPr>
        <w:t>s</w:t>
      </w:r>
      <w:r w:rsidR="00461677" w:rsidRPr="00190E5F">
        <w:rPr>
          <w:rFonts w:cstheme="minorHAnsi"/>
          <w:szCs w:val="22"/>
        </w:rPr>
        <w:t xml:space="preserve"> or material</w:t>
      </w:r>
      <w:r w:rsidR="00266559" w:rsidRPr="00190E5F">
        <w:rPr>
          <w:rFonts w:cstheme="minorHAnsi"/>
          <w:szCs w:val="22"/>
        </w:rPr>
        <w:t>s</w:t>
      </w:r>
      <w:r w:rsidR="00461677" w:rsidRPr="00190E5F">
        <w:rPr>
          <w:rFonts w:cstheme="minorHAnsi"/>
          <w:szCs w:val="22"/>
        </w:rPr>
        <w:t xml:space="preserve"> relating to the </w:t>
      </w:r>
      <w:r w:rsidR="008C4839">
        <w:rPr>
          <w:rFonts w:cstheme="minorHAnsi"/>
          <w:szCs w:val="22"/>
        </w:rPr>
        <w:t xml:space="preserve">Tender </w:t>
      </w:r>
      <w:r w:rsidR="00461677" w:rsidRPr="00190E5F">
        <w:rPr>
          <w:rFonts w:cstheme="minorHAnsi"/>
          <w:szCs w:val="22"/>
        </w:rPr>
        <w:t xml:space="preserve">Offer </w:t>
      </w:r>
      <w:r w:rsidRPr="00190E5F">
        <w:rPr>
          <w:rFonts w:cstheme="minorHAnsi"/>
          <w:szCs w:val="22"/>
        </w:rPr>
        <w:t>constitutes an offer to purchase or the solicitation of an offer to tender or sell Notes to or from any person located or resident in any jurisdiction where such offer or solicitation is unlawful.</w:t>
      </w:r>
    </w:p>
    <w:p w14:paraId="5CF58C81" w14:textId="5F68E69F" w:rsidR="005B542C" w:rsidRPr="00190E5F" w:rsidRDefault="00237A4A" w:rsidP="00BF0283">
      <w:pPr>
        <w:pStyle w:val="BodyText"/>
        <w:jc w:val="both"/>
        <w:rPr>
          <w:rFonts w:cstheme="minorHAnsi"/>
          <w:szCs w:val="22"/>
        </w:rPr>
      </w:pPr>
      <w:r w:rsidRPr="00190E5F">
        <w:rPr>
          <w:rFonts w:cstheme="minorHAnsi"/>
          <w:szCs w:val="22"/>
        </w:rPr>
        <w:t>None of the Dealer Managers</w:t>
      </w:r>
      <w:r w:rsidR="00893E42">
        <w:rPr>
          <w:rFonts w:cstheme="minorHAnsi"/>
          <w:szCs w:val="22"/>
        </w:rPr>
        <w:t xml:space="preserve"> or</w:t>
      </w:r>
      <w:r w:rsidRPr="00190E5F">
        <w:rPr>
          <w:rFonts w:cstheme="minorHAnsi"/>
          <w:szCs w:val="22"/>
        </w:rPr>
        <w:t xml:space="preserve"> the Tender and </w:t>
      </w:r>
      <w:r w:rsidR="008C4839">
        <w:rPr>
          <w:rFonts w:cstheme="minorHAnsi"/>
          <w:szCs w:val="22"/>
        </w:rPr>
        <w:t>Information</w:t>
      </w:r>
      <w:r w:rsidR="008C4839" w:rsidRPr="00190E5F">
        <w:rPr>
          <w:rFonts w:cstheme="minorHAnsi"/>
          <w:szCs w:val="22"/>
        </w:rPr>
        <w:t xml:space="preserve"> </w:t>
      </w:r>
      <w:r w:rsidRPr="00190E5F">
        <w:rPr>
          <w:rFonts w:cstheme="minorHAnsi"/>
          <w:szCs w:val="22"/>
        </w:rPr>
        <w:t xml:space="preserve">Agent </w:t>
      </w:r>
      <w:r w:rsidR="009E18A7">
        <w:rPr>
          <w:rFonts w:cstheme="minorHAnsi"/>
          <w:szCs w:val="22"/>
        </w:rPr>
        <w:t xml:space="preserve">(or their respective affiliates, directors, officers, employees and agents) </w:t>
      </w:r>
      <w:r w:rsidRPr="00190E5F">
        <w:rPr>
          <w:rFonts w:cstheme="minorHAnsi"/>
          <w:szCs w:val="22"/>
        </w:rPr>
        <w:t xml:space="preserve">have separately verified the information contained in the </w:t>
      </w:r>
      <w:r w:rsidR="00497C1D">
        <w:rPr>
          <w:rFonts w:cstheme="minorHAnsi"/>
          <w:szCs w:val="22"/>
        </w:rPr>
        <w:t>Offer to Purchase</w:t>
      </w:r>
      <w:r w:rsidRPr="00190E5F">
        <w:rPr>
          <w:rFonts w:cstheme="minorHAnsi"/>
          <w:szCs w:val="22"/>
        </w:rPr>
        <w:t xml:space="preserve"> and none of the Dealer Managers</w:t>
      </w:r>
      <w:r w:rsidR="00B64240">
        <w:rPr>
          <w:rFonts w:cstheme="minorHAnsi"/>
          <w:szCs w:val="22"/>
        </w:rPr>
        <w:t xml:space="preserve"> or</w:t>
      </w:r>
      <w:r w:rsidRPr="00190E5F">
        <w:rPr>
          <w:rFonts w:cstheme="minorHAnsi"/>
          <w:szCs w:val="22"/>
        </w:rPr>
        <w:t xml:space="preserve"> the Tender and </w:t>
      </w:r>
      <w:r w:rsidR="008C4839">
        <w:rPr>
          <w:rFonts w:cstheme="minorHAnsi"/>
          <w:szCs w:val="22"/>
        </w:rPr>
        <w:t>Information</w:t>
      </w:r>
      <w:r w:rsidR="008C4839" w:rsidRPr="00190E5F">
        <w:rPr>
          <w:rFonts w:cstheme="minorHAnsi"/>
          <w:szCs w:val="22"/>
        </w:rPr>
        <w:t xml:space="preserve"> </w:t>
      </w:r>
      <w:r w:rsidRPr="00190E5F">
        <w:rPr>
          <w:rFonts w:cstheme="minorHAnsi"/>
          <w:szCs w:val="22"/>
        </w:rPr>
        <w:t xml:space="preserve">Agent, their affiliates or their respective directors, officers, employees or agents makes any representations, warranties, undertakings or recommendations whatsoever (express or implied) regarding the </w:t>
      </w:r>
      <w:r w:rsidR="00497C1D">
        <w:rPr>
          <w:rFonts w:cstheme="minorHAnsi"/>
          <w:szCs w:val="22"/>
        </w:rPr>
        <w:t>Offer to Purchase</w:t>
      </w:r>
      <w:r w:rsidRPr="00190E5F">
        <w:rPr>
          <w:rFonts w:cstheme="minorHAnsi"/>
          <w:szCs w:val="22"/>
        </w:rPr>
        <w:t xml:space="preserve"> or the </w:t>
      </w:r>
      <w:r w:rsidR="008C4839">
        <w:rPr>
          <w:rFonts w:cstheme="minorHAnsi"/>
          <w:szCs w:val="22"/>
        </w:rPr>
        <w:t xml:space="preserve">Tender </w:t>
      </w:r>
      <w:r w:rsidRPr="00190E5F">
        <w:rPr>
          <w:rFonts w:cstheme="minorHAnsi"/>
          <w:szCs w:val="22"/>
        </w:rPr>
        <w:t xml:space="preserve">Offer and none of such persons accepts any liability or responsibility as to the accuracy or completeness of the information contained in the </w:t>
      </w:r>
      <w:r w:rsidR="00497C1D">
        <w:rPr>
          <w:rFonts w:cstheme="minorHAnsi"/>
          <w:szCs w:val="22"/>
        </w:rPr>
        <w:t>Offer to Purchase</w:t>
      </w:r>
      <w:r w:rsidRPr="00190E5F">
        <w:rPr>
          <w:rFonts w:cstheme="minorHAnsi"/>
          <w:szCs w:val="22"/>
        </w:rPr>
        <w:t xml:space="preserve"> or any other information provided by the </w:t>
      </w:r>
      <w:r w:rsidR="007F7F91" w:rsidRPr="00190E5F">
        <w:rPr>
          <w:rFonts w:cstheme="minorHAnsi"/>
          <w:szCs w:val="22"/>
        </w:rPr>
        <w:t>Issuer</w:t>
      </w:r>
      <w:r w:rsidR="00A224BC">
        <w:rPr>
          <w:rFonts w:cstheme="minorHAnsi"/>
          <w:szCs w:val="22"/>
        </w:rPr>
        <w:t xml:space="preserve"> or KMG Finance</w:t>
      </w:r>
      <w:r w:rsidRPr="00190E5F">
        <w:rPr>
          <w:rFonts w:cstheme="minorHAnsi"/>
          <w:szCs w:val="22"/>
        </w:rPr>
        <w:t xml:space="preserve"> in connection with or in relation to the </w:t>
      </w:r>
      <w:r w:rsidR="008C4839">
        <w:rPr>
          <w:rFonts w:cstheme="minorHAnsi"/>
          <w:szCs w:val="22"/>
        </w:rPr>
        <w:t xml:space="preserve">Tender </w:t>
      </w:r>
      <w:r w:rsidRPr="00190E5F">
        <w:rPr>
          <w:rFonts w:cstheme="minorHAnsi"/>
          <w:szCs w:val="22"/>
        </w:rPr>
        <w:t>Offer</w:t>
      </w:r>
      <w:r w:rsidR="008E3FC0" w:rsidRPr="00190E5F">
        <w:rPr>
          <w:rFonts w:cstheme="minorHAnsi"/>
          <w:szCs w:val="22"/>
        </w:rPr>
        <w:t xml:space="preserve"> or any failure by the </w:t>
      </w:r>
      <w:r w:rsidR="007F7F91" w:rsidRPr="00190E5F">
        <w:rPr>
          <w:rFonts w:cstheme="minorHAnsi"/>
          <w:szCs w:val="22"/>
        </w:rPr>
        <w:t>Issuer</w:t>
      </w:r>
      <w:r w:rsidR="008E3FC0" w:rsidRPr="00190E5F">
        <w:rPr>
          <w:rFonts w:cstheme="minorHAnsi"/>
          <w:szCs w:val="22"/>
        </w:rPr>
        <w:t xml:space="preserve"> </w:t>
      </w:r>
      <w:r w:rsidR="00A224BC">
        <w:rPr>
          <w:rFonts w:cstheme="minorHAnsi"/>
          <w:szCs w:val="22"/>
        </w:rPr>
        <w:t xml:space="preserve">or KMG Finance </w:t>
      </w:r>
      <w:r w:rsidR="008E3FC0" w:rsidRPr="00190E5F">
        <w:rPr>
          <w:rFonts w:cstheme="minorHAnsi"/>
          <w:szCs w:val="22"/>
        </w:rPr>
        <w:t xml:space="preserve">to disclose material information with regard to the </w:t>
      </w:r>
      <w:r w:rsidR="007F7F91" w:rsidRPr="00190E5F">
        <w:rPr>
          <w:rFonts w:cstheme="minorHAnsi"/>
          <w:szCs w:val="22"/>
        </w:rPr>
        <w:t>Issuer</w:t>
      </w:r>
      <w:r w:rsidR="00A224BC">
        <w:rPr>
          <w:rFonts w:cstheme="minorHAnsi"/>
          <w:szCs w:val="22"/>
        </w:rPr>
        <w:t>, KMG Finance</w:t>
      </w:r>
      <w:r w:rsidR="008E3FC0" w:rsidRPr="00190E5F">
        <w:rPr>
          <w:rFonts w:cstheme="minorHAnsi"/>
          <w:szCs w:val="22"/>
        </w:rPr>
        <w:t xml:space="preserve"> or the </w:t>
      </w:r>
      <w:r w:rsidR="00F57888">
        <w:rPr>
          <w:rFonts w:cstheme="minorHAnsi"/>
          <w:szCs w:val="22"/>
        </w:rPr>
        <w:t xml:space="preserve">Tender </w:t>
      </w:r>
      <w:r w:rsidR="008E3FC0" w:rsidRPr="00190E5F">
        <w:rPr>
          <w:rFonts w:cstheme="minorHAnsi"/>
          <w:szCs w:val="22"/>
        </w:rPr>
        <w:t>Offer</w:t>
      </w:r>
      <w:r w:rsidRPr="00190E5F">
        <w:rPr>
          <w:rFonts w:cstheme="minorHAnsi"/>
          <w:szCs w:val="22"/>
        </w:rPr>
        <w:t>.</w:t>
      </w:r>
    </w:p>
    <w:p w14:paraId="35D9C970" w14:textId="0F2543D3" w:rsidR="00110593" w:rsidRPr="00871FAE" w:rsidRDefault="00237A4A" w:rsidP="00871FAE">
      <w:pPr>
        <w:pStyle w:val="BodyText"/>
        <w:jc w:val="both"/>
        <w:rPr>
          <w:rFonts w:cstheme="minorHAnsi"/>
          <w:szCs w:val="22"/>
        </w:rPr>
      </w:pPr>
      <w:r w:rsidRPr="00190E5F">
        <w:rPr>
          <w:rFonts w:cstheme="minorHAnsi"/>
          <w:szCs w:val="22"/>
        </w:rPr>
        <w:t>The Dealer Manager</w:t>
      </w:r>
      <w:r w:rsidR="00DA23D8" w:rsidRPr="00190E5F">
        <w:rPr>
          <w:rFonts w:cstheme="minorHAnsi"/>
          <w:szCs w:val="22"/>
        </w:rPr>
        <w:t>s</w:t>
      </w:r>
      <w:r w:rsidR="00893E42">
        <w:rPr>
          <w:rFonts w:cstheme="minorHAnsi"/>
          <w:szCs w:val="22"/>
        </w:rPr>
        <w:t xml:space="preserve"> </w:t>
      </w:r>
      <w:r w:rsidRPr="00190E5F">
        <w:rPr>
          <w:rFonts w:cstheme="minorHAnsi"/>
          <w:szCs w:val="22"/>
        </w:rPr>
        <w:t xml:space="preserve">and the </w:t>
      </w:r>
      <w:r w:rsidR="00117C2D" w:rsidRPr="00190E5F">
        <w:rPr>
          <w:rFonts w:cstheme="minorHAnsi"/>
          <w:szCs w:val="22"/>
        </w:rPr>
        <w:t xml:space="preserve">Tender and </w:t>
      </w:r>
      <w:r w:rsidR="008C4839">
        <w:rPr>
          <w:rFonts w:cstheme="minorHAnsi"/>
          <w:szCs w:val="22"/>
        </w:rPr>
        <w:t>Information</w:t>
      </w:r>
      <w:r w:rsidR="008C4839" w:rsidRPr="00190E5F">
        <w:rPr>
          <w:rFonts w:cstheme="minorHAnsi"/>
          <w:szCs w:val="22"/>
        </w:rPr>
        <w:t xml:space="preserve"> </w:t>
      </w:r>
      <w:r w:rsidR="00117C2D" w:rsidRPr="00190E5F">
        <w:rPr>
          <w:rFonts w:cstheme="minorHAnsi"/>
          <w:szCs w:val="22"/>
        </w:rPr>
        <w:t>Agent</w:t>
      </w:r>
      <w:r w:rsidRPr="00190E5F">
        <w:rPr>
          <w:rFonts w:cstheme="minorHAnsi"/>
          <w:szCs w:val="22"/>
        </w:rPr>
        <w:t xml:space="preserve"> (and their respective directors, </w:t>
      </w:r>
      <w:proofErr w:type="gramStart"/>
      <w:r w:rsidRPr="00190E5F">
        <w:rPr>
          <w:rFonts w:cstheme="minorHAnsi"/>
          <w:szCs w:val="22"/>
        </w:rPr>
        <w:t>employees</w:t>
      </w:r>
      <w:proofErr w:type="gramEnd"/>
      <w:r w:rsidRPr="00190E5F">
        <w:rPr>
          <w:rFonts w:cstheme="minorHAnsi"/>
          <w:szCs w:val="22"/>
        </w:rPr>
        <w:t xml:space="preserve"> or affiliates) make no representations or recommendations whatsoever regarding this announcement, the </w:t>
      </w:r>
      <w:r w:rsidR="00497C1D">
        <w:rPr>
          <w:rFonts w:cstheme="minorHAnsi"/>
          <w:szCs w:val="22"/>
        </w:rPr>
        <w:t>Offer to Purchase</w:t>
      </w:r>
      <w:r w:rsidRPr="00190E5F">
        <w:rPr>
          <w:rFonts w:cstheme="minorHAnsi"/>
          <w:szCs w:val="22"/>
        </w:rPr>
        <w:t xml:space="preserve"> </w:t>
      </w:r>
      <w:r w:rsidR="00461677" w:rsidRPr="00190E5F">
        <w:rPr>
          <w:rFonts w:cstheme="minorHAnsi"/>
          <w:szCs w:val="22"/>
        </w:rPr>
        <w:t xml:space="preserve">or the </w:t>
      </w:r>
      <w:r w:rsidR="00F57888">
        <w:rPr>
          <w:rFonts w:cstheme="minorHAnsi"/>
          <w:szCs w:val="22"/>
        </w:rPr>
        <w:t xml:space="preserve">Tender </w:t>
      </w:r>
      <w:r w:rsidRPr="00190E5F">
        <w:rPr>
          <w:rFonts w:cstheme="minorHAnsi"/>
          <w:szCs w:val="22"/>
        </w:rPr>
        <w:t xml:space="preserve">Offer. The </w:t>
      </w:r>
      <w:r w:rsidR="00117C2D" w:rsidRPr="00190E5F">
        <w:rPr>
          <w:rFonts w:cstheme="minorHAnsi"/>
          <w:szCs w:val="22"/>
        </w:rPr>
        <w:t xml:space="preserve">Tender and </w:t>
      </w:r>
      <w:r w:rsidR="008C4839">
        <w:rPr>
          <w:rFonts w:cstheme="minorHAnsi"/>
          <w:szCs w:val="22"/>
        </w:rPr>
        <w:t>Information</w:t>
      </w:r>
      <w:r w:rsidR="008C4839" w:rsidRPr="00190E5F">
        <w:rPr>
          <w:rFonts w:cstheme="minorHAnsi"/>
          <w:szCs w:val="22"/>
        </w:rPr>
        <w:t xml:space="preserve"> </w:t>
      </w:r>
      <w:r w:rsidR="00117C2D" w:rsidRPr="00190E5F">
        <w:rPr>
          <w:rFonts w:cstheme="minorHAnsi"/>
          <w:szCs w:val="22"/>
        </w:rPr>
        <w:t>Agent</w:t>
      </w:r>
      <w:r w:rsidRPr="00190E5F">
        <w:rPr>
          <w:rFonts w:cstheme="minorHAnsi"/>
          <w:szCs w:val="22"/>
        </w:rPr>
        <w:t xml:space="preserve"> is the agent of the </w:t>
      </w:r>
      <w:r w:rsidR="006008DD">
        <w:rPr>
          <w:rFonts w:cstheme="minorHAnsi"/>
          <w:szCs w:val="22"/>
        </w:rPr>
        <w:t>Offerors</w:t>
      </w:r>
      <w:r w:rsidR="00A224BC">
        <w:rPr>
          <w:rFonts w:cstheme="minorHAnsi"/>
          <w:szCs w:val="22"/>
        </w:rPr>
        <w:t xml:space="preserve"> </w:t>
      </w:r>
      <w:r w:rsidRPr="00190E5F">
        <w:rPr>
          <w:rFonts w:cstheme="minorHAnsi"/>
          <w:szCs w:val="22"/>
        </w:rPr>
        <w:t xml:space="preserve">and owes no duty to any Holder. None of the </w:t>
      </w:r>
      <w:r w:rsidR="007F7F91" w:rsidRPr="00190E5F">
        <w:rPr>
          <w:rFonts w:cstheme="minorHAnsi"/>
          <w:szCs w:val="22"/>
        </w:rPr>
        <w:t>Issuer</w:t>
      </w:r>
      <w:r w:rsidRPr="00190E5F">
        <w:rPr>
          <w:rFonts w:cstheme="minorHAnsi"/>
          <w:szCs w:val="22"/>
        </w:rPr>
        <w:t>,</w:t>
      </w:r>
      <w:r w:rsidR="00A224BC">
        <w:rPr>
          <w:rFonts w:cstheme="minorHAnsi"/>
          <w:szCs w:val="22"/>
        </w:rPr>
        <w:t xml:space="preserve"> KMG Finance,</w:t>
      </w:r>
      <w:r w:rsidRPr="00190E5F">
        <w:rPr>
          <w:rFonts w:cstheme="minorHAnsi"/>
          <w:szCs w:val="22"/>
        </w:rPr>
        <w:t xml:space="preserve"> the Dealer Manager</w:t>
      </w:r>
      <w:r w:rsidR="00DA23D8" w:rsidRPr="00190E5F">
        <w:rPr>
          <w:rFonts w:cstheme="minorHAnsi"/>
          <w:szCs w:val="22"/>
        </w:rPr>
        <w:t>s</w:t>
      </w:r>
      <w:r w:rsidR="00B64240">
        <w:rPr>
          <w:rFonts w:cstheme="minorHAnsi"/>
          <w:szCs w:val="22"/>
        </w:rPr>
        <w:t xml:space="preserve"> </w:t>
      </w:r>
      <w:r w:rsidRPr="00190E5F">
        <w:rPr>
          <w:rFonts w:cstheme="minorHAnsi"/>
          <w:szCs w:val="22"/>
        </w:rPr>
        <w:t xml:space="preserve">or the </w:t>
      </w:r>
      <w:r w:rsidR="00117C2D" w:rsidRPr="00190E5F">
        <w:rPr>
          <w:rFonts w:cstheme="minorHAnsi"/>
          <w:szCs w:val="22"/>
        </w:rPr>
        <w:t xml:space="preserve">Tender and </w:t>
      </w:r>
      <w:r w:rsidR="008C4839">
        <w:rPr>
          <w:rFonts w:cstheme="minorHAnsi"/>
          <w:szCs w:val="22"/>
        </w:rPr>
        <w:t>Information</w:t>
      </w:r>
      <w:r w:rsidR="008C4839" w:rsidRPr="00190E5F">
        <w:rPr>
          <w:rFonts w:cstheme="minorHAnsi"/>
          <w:szCs w:val="22"/>
        </w:rPr>
        <w:t xml:space="preserve"> </w:t>
      </w:r>
      <w:r w:rsidR="00117C2D" w:rsidRPr="00190E5F">
        <w:rPr>
          <w:rFonts w:cstheme="minorHAnsi"/>
          <w:szCs w:val="22"/>
        </w:rPr>
        <w:t>Agent</w:t>
      </w:r>
      <w:r w:rsidRPr="00190E5F">
        <w:rPr>
          <w:rFonts w:cstheme="minorHAnsi"/>
          <w:szCs w:val="22"/>
        </w:rPr>
        <w:t xml:space="preserve"> or any of their respective directors, employees or affiliates makes any recommendation as to </w:t>
      </w:r>
      <w:proofErr w:type="gramStart"/>
      <w:r w:rsidRPr="00190E5F">
        <w:rPr>
          <w:rFonts w:cstheme="minorHAnsi"/>
          <w:szCs w:val="22"/>
        </w:rPr>
        <w:t>whether or not</w:t>
      </w:r>
      <w:proofErr w:type="gramEnd"/>
      <w:r w:rsidRPr="00190E5F">
        <w:rPr>
          <w:rFonts w:cstheme="minorHAnsi"/>
          <w:szCs w:val="22"/>
        </w:rPr>
        <w:t xml:space="preserve"> the Holders should</w:t>
      </w:r>
      <w:r w:rsidR="00461677" w:rsidRPr="00190E5F">
        <w:rPr>
          <w:rFonts w:cstheme="minorHAnsi"/>
          <w:szCs w:val="22"/>
        </w:rPr>
        <w:t xml:space="preserve"> participate in the </w:t>
      </w:r>
      <w:r w:rsidR="00F57888">
        <w:rPr>
          <w:rFonts w:cstheme="minorHAnsi"/>
          <w:szCs w:val="22"/>
        </w:rPr>
        <w:t xml:space="preserve">Tender </w:t>
      </w:r>
      <w:r w:rsidRPr="00190E5F">
        <w:rPr>
          <w:rFonts w:cstheme="minorHAnsi"/>
          <w:szCs w:val="22"/>
        </w:rPr>
        <w:t xml:space="preserve">Offer or refrain from </w:t>
      </w:r>
      <w:r w:rsidR="00461677" w:rsidRPr="00190E5F">
        <w:rPr>
          <w:rFonts w:cstheme="minorHAnsi"/>
          <w:szCs w:val="22"/>
        </w:rPr>
        <w:t xml:space="preserve">taking any action in the </w:t>
      </w:r>
      <w:r w:rsidR="00F57888">
        <w:rPr>
          <w:rFonts w:cstheme="minorHAnsi"/>
          <w:szCs w:val="22"/>
        </w:rPr>
        <w:t xml:space="preserve">Tender </w:t>
      </w:r>
      <w:r w:rsidRPr="00190E5F">
        <w:rPr>
          <w:rFonts w:cstheme="minorHAnsi"/>
          <w:szCs w:val="22"/>
        </w:rPr>
        <w:t>Offer with respect to any of Notes, and none of them has authorised any person to make any such recommendation.</w:t>
      </w:r>
    </w:p>
    <w:p w14:paraId="4AAE80E2" w14:textId="3A7BAE48" w:rsidR="00BB1677" w:rsidRPr="00190E5F" w:rsidRDefault="00237A4A" w:rsidP="00B042F0">
      <w:pPr>
        <w:pStyle w:val="BodyText"/>
        <w:spacing w:after="120" w:line="240" w:lineRule="auto"/>
        <w:rPr>
          <w:rFonts w:cstheme="minorHAnsi"/>
          <w:b/>
          <w:szCs w:val="22"/>
        </w:rPr>
      </w:pPr>
      <w:r w:rsidRPr="00190E5F">
        <w:rPr>
          <w:rFonts w:cstheme="minorHAnsi"/>
          <w:b/>
          <w:szCs w:val="22"/>
        </w:rPr>
        <w:t>OFFE</w:t>
      </w:r>
      <w:r w:rsidR="003773FD" w:rsidRPr="00190E5F">
        <w:rPr>
          <w:rFonts w:cstheme="minorHAnsi"/>
          <w:b/>
          <w:szCs w:val="22"/>
        </w:rPr>
        <w:t>R AND DISTRIBUTION RESTRICTIONS</w:t>
      </w:r>
    </w:p>
    <w:p w14:paraId="0C9A9999" w14:textId="6A5FEA64" w:rsidR="007151B0" w:rsidRPr="00FC3795" w:rsidRDefault="00237A4A" w:rsidP="00B042F0">
      <w:pPr>
        <w:widowControl w:val="0"/>
        <w:spacing w:after="120"/>
        <w:jc w:val="both"/>
        <w:textAlignment w:val="baseline"/>
        <w:rPr>
          <w:rFonts w:ascii="Times New Roman" w:hAnsi="Times New Roman" w:cs="Times New Roman"/>
          <w:szCs w:val="22"/>
        </w:rPr>
      </w:pPr>
      <w:r w:rsidRPr="00FC3795">
        <w:rPr>
          <w:rFonts w:ascii="Times New Roman" w:hAnsi="Times New Roman" w:cs="Times New Roman"/>
          <w:b/>
          <w:color w:val="000000" w:themeColor="text2"/>
          <w:szCs w:val="22"/>
        </w:rPr>
        <w:t>General</w:t>
      </w:r>
      <w:r w:rsidRPr="00FC3795">
        <w:rPr>
          <w:rFonts w:ascii="Times New Roman" w:hAnsi="Times New Roman" w:cs="Times New Roman"/>
          <w:szCs w:val="22"/>
        </w:rPr>
        <w:br/>
      </w:r>
      <w:r w:rsidR="00871FAE">
        <w:rPr>
          <w:rFonts w:ascii="Times New Roman" w:hAnsi="Times New Roman" w:cs="Times New Roman"/>
          <w:szCs w:val="22"/>
        </w:rPr>
        <w:t xml:space="preserve">Neither this </w:t>
      </w:r>
      <w:r w:rsidR="007151B0" w:rsidRPr="00FC3795">
        <w:rPr>
          <w:rFonts w:ascii="Times New Roman" w:hAnsi="Times New Roman" w:cs="Times New Roman"/>
          <w:szCs w:val="22"/>
        </w:rPr>
        <w:t xml:space="preserve">announcement </w:t>
      </w:r>
      <w:r w:rsidR="00871FAE">
        <w:rPr>
          <w:rFonts w:ascii="Times New Roman" w:hAnsi="Times New Roman" w:cs="Times New Roman"/>
          <w:szCs w:val="22"/>
        </w:rPr>
        <w:t xml:space="preserve">nor the Offer to Purchase </w:t>
      </w:r>
      <w:r w:rsidR="007151B0" w:rsidRPr="00FC3795">
        <w:rPr>
          <w:rFonts w:ascii="Times New Roman" w:hAnsi="Times New Roman" w:cs="Times New Roman"/>
          <w:szCs w:val="22"/>
        </w:rPr>
        <w:t xml:space="preserve">constitute an offer to purchase, or the solicitation of an offer to tender or sell, or to exercise any voting rights with respect to any, Notes to or from, or by, any person located or resident in any jurisdiction where such offer is unlawful, and tenders of Notes by Holders originating from any jurisdiction in which such offer or solicitation is unlawful will not be accepted.  The </w:t>
      </w:r>
      <w:r w:rsidR="007151B0">
        <w:rPr>
          <w:rFonts w:ascii="Times New Roman" w:hAnsi="Times New Roman" w:cs="Times New Roman"/>
          <w:szCs w:val="22"/>
        </w:rPr>
        <w:t xml:space="preserve">Tender </w:t>
      </w:r>
      <w:r w:rsidR="007151B0" w:rsidRPr="00FC3795">
        <w:rPr>
          <w:rFonts w:ascii="Times New Roman" w:hAnsi="Times New Roman" w:cs="Times New Roman"/>
          <w:szCs w:val="22"/>
        </w:rPr>
        <w:t>Offer</w:t>
      </w:r>
      <w:r w:rsidR="007151B0">
        <w:rPr>
          <w:rFonts w:ascii="Times New Roman" w:hAnsi="Times New Roman" w:cs="Times New Roman"/>
          <w:szCs w:val="22"/>
        </w:rPr>
        <w:t xml:space="preserve"> is</w:t>
      </w:r>
      <w:r w:rsidR="007151B0" w:rsidRPr="00FC3795">
        <w:rPr>
          <w:rFonts w:ascii="Times New Roman" w:hAnsi="Times New Roman" w:cs="Times New Roman"/>
          <w:szCs w:val="22"/>
        </w:rPr>
        <w:t xml:space="preserve"> not being made, directly or indirectly, in any jurisdiction where to do so would impose any obligations on the Issuer or KMG Finance in such jurisdiction, including any requirement to qualify as a foreign corporation or other entity or as a dealer in securities in any such jurisdiction, file any general consent to service of process in any such jurisdiction, subject itself to taxation in any such jurisdiction if it is not otherwise so subject, make any filing with any regulatory body in any such jurisdiction or otherwise have any document approved by, or submitted to, any regulating body in such jurisdiction. In those jurisdictions where the securities laws or other laws require the </w:t>
      </w:r>
      <w:r w:rsidR="004B3294">
        <w:rPr>
          <w:rFonts w:ascii="Times New Roman" w:hAnsi="Times New Roman" w:cs="Times New Roman"/>
          <w:szCs w:val="22"/>
        </w:rPr>
        <w:t xml:space="preserve">Tender </w:t>
      </w:r>
      <w:r w:rsidR="007151B0" w:rsidRPr="00FC3795">
        <w:rPr>
          <w:rFonts w:ascii="Times New Roman" w:hAnsi="Times New Roman" w:cs="Times New Roman"/>
          <w:szCs w:val="22"/>
        </w:rPr>
        <w:t xml:space="preserve">Offer to be made by a licensed broker or dealer and any Dealer Manager or any of its </w:t>
      </w:r>
      <w:r w:rsidR="007151B0" w:rsidRPr="00FC3795">
        <w:rPr>
          <w:rFonts w:ascii="Times New Roman" w:hAnsi="Times New Roman" w:cs="Times New Roman"/>
          <w:szCs w:val="22"/>
        </w:rPr>
        <w:lastRenderedPageBreak/>
        <w:t xml:space="preserve">respective affiliates is such a licensed broker or dealer in such jurisdiction, the </w:t>
      </w:r>
      <w:r w:rsidR="0071573F">
        <w:rPr>
          <w:rFonts w:ascii="Times New Roman" w:hAnsi="Times New Roman" w:cs="Times New Roman"/>
          <w:szCs w:val="22"/>
        </w:rPr>
        <w:t xml:space="preserve">Tender </w:t>
      </w:r>
      <w:r w:rsidR="007151B0" w:rsidRPr="00FC3795">
        <w:rPr>
          <w:rFonts w:ascii="Times New Roman" w:hAnsi="Times New Roman" w:cs="Times New Roman"/>
          <w:szCs w:val="22"/>
        </w:rPr>
        <w:t>Offer shall be deemed to be made on behalf of the Issuer and KMG Finance by such Dealer Manager</w:t>
      </w:r>
      <w:r w:rsidR="0071573F">
        <w:rPr>
          <w:rFonts w:ascii="Times New Roman" w:hAnsi="Times New Roman" w:cs="Times New Roman"/>
          <w:szCs w:val="22"/>
        </w:rPr>
        <w:t>s</w:t>
      </w:r>
      <w:r w:rsidR="007151B0" w:rsidRPr="00FC3795">
        <w:rPr>
          <w:rFonts w:ascii="Times New Roman" w:hAnsi="Times New Roman" w:cs="Times New Roman"/>
          <w:szCs w:val="22"/>
        </w:rPr>
        <w:t xml:space="preserve"> or affiliate (as the case may be) in such jurisdiction and the </w:t>
      </w:r>
      <w:r w:rsidR="0071573F">
        <w:rPr>
          <w:rFonts w:ascii="Times New Roman" w:hAnsi="Times New Roman" w:cs="Times New Roman"/>
          <w:szCs w:val="22"/>
        </w:rPr>
        <w:t xml:space="preserve">Tender </w:t>
      </w:r>
      <w:r w:rsidR="007151B0" w:rsidRPr="00FC3795">
        <w:rPr>
          <w:rFonts w:ascii="Times New Roman" w:hAnsi="Times New Roman" w:cs="Times New Roman"/>
          <w:szCs w:val="22"/>
        </w:rPr>
        <w:t>Offer</w:t>
      </w:r>
      <w:r w:rsidR="0071573F">
        <w:rPr>
          <w:rFonts w:ascii="Times New Roman" w:hAnsi="Times New Roman" w:cs="Times New Roman"/>
          <w:szCs w:val="22"/>
        </w:rPr>
        <w:t xml:space="preserve"> is</w:t>
      </w:r>
      <w:r w:rsidR="007151B0" w:rsidRPr="00FC3795">
        <w:rPr>
          <w:rFonts w:ascii="Times New Roman" w:hAnsi="Times New Roman" w:cs="Times New Roman"/>
          <w:szCs w:val="22"/>
        </w:rPr>
        <w:t xml:space="preserve"> not made in any such jurisdiction where either a Dealer Manager or any of its affiliates is not licensed. Neither this announcement nor the delivery of the </w:t>
      </w:r>
      <w:r w:rsidR="0071573F">
        <w:rPr>
          <w:rFonts w:ascii="Times New Roman" w:hAnsi="Times New Roman" w:cs="Times New Roman"/>
          <w:szCs w:val="22"/>
        </w:rPr>
        <w:t>Offer to Purchase</w:t>
      </w:r>
      <w:r w:rsidR="007151B0" w:rsidRPr="00FC3795">
        <w:rPr>
          <w:rFonts w:ascii="Times New Roman" w:hAnsi="Times New Roman" w:cs="Times New Roman"/>
          <w:szCs w:val="22"/>
        </w:rPr>
        <w:t xml:space="preserve"> nor any purchase of Notes shall, under any circumstances, create any implication that there has been no change in the affairs of the Issuer or KMG Finance since the date hereof, or that the information herein is correct as of any time </w:t>
      </w:r>
      <w:proofErr w:type="gramStart"/>
      <w:r w:rsidR="007151B0" w:rsidRPr="00FC3795">
        <w:rPr>
          <w:rFonts w:ascii="Times New Roman" w:hAnsi="Times New Roman" w:cs="Times New Roman"/>
          <w:szCs w:val="22"/>
        </w:rPr>
        <w:t>subsequent to</w:t>
      </w:r>
      <w:proofErr w:type="gramEnd"/>
      <w:r w:rsidR="007151B0" w:rsidRPr="00FC3795">
        <w:rPr>
          <w:rFonts w:ascii="Times New Roman" w:hAnsi="Times New Roman" w:cs="Times New Roman"/>
          <w:szCs w:val="22"/>
        </w:rPr>
        <w:t xml:space="preserve"> the date hereof.</w:t>
      </w:r>
    </w:p>
    <w:p w14:paraId="22033E87" w14:textId="6526227A" w:rsidR="007151B0" w:rsidRPr="00FC3795" w:rsidRDefault="007151B0"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Each Holder participating in </w:t>
      </w:r>
      <w:r w:rsidR="0071573F">
        <w:rPr>
          <w:rFonts w:ascii="Times New Roman" w:hAnsi="Times New Roman" w:cs="Times New Roman"/>
          <w:szCs w:val="22"/>
        </w:rPr>
        <w:t>the Tender</w:t>
      </w:r>
      <w:r w:rsidRPr="00FC3795">
        <w:rPr>
          <w:rFonts w:ascii="Times New Roman" w:hAnsi="Times New Roman" w:cs="Times New Roman"/>
          <w:szCs w:val="22"/>
        </w:rPr>
        <w:t xml:space="preserve"> Offer will be deemed to give certain representations in respect of the jurisdictions referred to below, and generally, on submission of Notes for </w:t>
      </w:r>
      <w:r w:rsidR="009E18A7">
        <w:rPr>
          <w:rFonts w:ascii="Times New Roman" w:hAnsi="Times New Roman" w:cs="Times New Roman"/>
          <w:szCs w:val="22"/>
        </w:rPr>
        <w:t xml:space="preserve">tender in </w:t>
      </w:r>
      <w:r w:rsidR="0071573F">
        <w:rPr>
          <w:rFonts w:ascii="Times New Roman" w:hAnsi="Times New Roman" w:cs="Times New Roman"/>
          <w:szCs w:val="22"/>
        </w:rPr>
        <w:t xml:space="preserve">the </w:t>
      </w:r>
      <w:r w:rsidRPr="00FC3795">
        <w:rPr>
          <w:rFonts w:ascii="Times New Roman" w:hAnsi="Times New Roman" w:cs="Times New Roman"/>
          <w:szCs w:val="22"/>
        </w:rPr>
        <w:t xml:space="preserve">Tender Offer. Any tender of Notes for purchase pursuant to </w:t>
      </w:r>
      <w:r w:rsidR="0071573F">
        <w:rPr>
          <w:rFonts w:ascii="Times New Roman" w:hAnsi="Times New Roman" w:cs="Times New Roman"/>
          <w:szCs w:val="22"/>
        </w:rPr>
        <w:t>the</w:t>
      </w:r>
      <w:r w:rsidRPr="00FC3795">
        <w:rPr>
          <w:rFonts w:ascii="Times New Roman" w:hAnsi="Times New Roman" w:cs="Times New Roman"/>
          <w:szCs w:val="22"/>
        </w:rPr>
        <w:t xml:space="preserve"> </w:t>
      </w:r>
      <w:r>
        <w:rPr>
          <w:rFonts w:ascii="Times New Roman" w:hAnsi="Times New Roman" w:cs="Times New Roman"/>
          <w:szCs w:val="22"/>
        </w:rPr>
        <w:t xml:space="preserve">Tender </w:t>
      </w:r>
      <w:r w:rsidRPr="00FC3795">
        <w:rPr>
          <w:rFonts w:ascii="Times New Roman" w:hAnsi="Times New Roman" w:cs="Times New Roman"/>
          <w:szCs w:val="22"/>
        </w:rPr>
        <w:t xml:space="preserve">Offer from a Holder that is unable to make these representations will not be accepted.  Each of the Issuer, KMG Finance, the Dealer Managers and the Tender and </w:t>
      </w:r>
      <w:r w:rsidR="0071573F">
        <w:rPr>
          <w:rFonts w:ascii="Times New Roman" w:hAnsi="Times New Roman" w:cs="Times New Roman"/>
          <w:szCs w:val="22"/>
        </w:rPr>
        <w:t>Information</w:t>
      </w:r>
      <w:r w:rsidRPr="00FC3795">
        <w:rPr>
          <w:rFonts w:ascii="Times New Roman" w:hAnsi="Times New Roman" w:cs="Times New Roman"/>
          <w:szCs w:val="22"/>
        </w:rPr>
        <w:t xml:space="preserve"> Agent reserves the right, in its absolute discretion, to investigate, in relation to </w:t>
      </w:r>
      <w:r w:rsidR="0071573F">
        <w:rPr>
          <w:rFonts w:ascii="Times New Roman" w:hAnsi="Times New Roman" w:cs="Times New Roman"/>
          <w:szCs w:val="22"/>
        </w:rPr>
        <w:t>the</w:t>
      </w:r>
      <w:r w:rsidRPr="00FC3795">
        <w:rPr>
          <w:rFonts w:ascii="Times New Roman" w:hAnsi="Times New Roman" w:cs="Times New Roman"/>
          <w:szCs w:val="22"/>
        </w:rPr>
        <w:t xml:space="preserve"> tender of Notes for purchase pursuant to </w:t>
      </w:r>
      <w:r w:rsidR="0071573F">
        <w:rPr>
          <w:rFonts w:ascii="Times New Roman" w:hAnsi="Times New Roman" w:cs="Times New Roman"/>
          <w:szCs w:val="22"/>
        </w:rPr>
        <w:t>the</w:t>
      </w:r>
      <w:r w:rsidRPr="00FC3795">
        <w:rPr>
          <w:rFonts w:ascii="Times New Roman" w:hAnsi="Times New Roman" w:cs="Times New Roman"/>
          <w:szCs w:val="22"/>
        </w:rPr>
        <w:t xml:space="preserve"> Tender Offer, whether any such representation given by a Holder is correct and, if such investigation is undertaken and as a result the Issuer or KMG Finance determines (for any reason) that such representation is not correct, such tender will not be accepted.</w:t>
      </w:r>
    </w:p>
    <w:p w14:paraId="71828081" w14:textId="26586CFA" w:rsidR="007151B0" w:rsidRPr="00FC3795" w:rsidRDefault="007151B0"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A Holder who is a Sanctions Restricted Person may not participate in </w:t>
      </w:r>
      <w:r w:rsidR="0071573F">
        <w:rPr>
          <w:rFonts w:ascii="Times New Roman" w:hAnsi="Times New Roman" w:cs="Times New Roman"/>
          <w:szCs w:val="22"/>
        </w:rPr>
        <w:t>the Tender</w:t>
      </w:r>
      <w:r w:rsidRPr="00FC3795">
        <w:rPr>
          <w:rFonts w:ascii="Times New Roman" w:hAnsi="Times New Roman" w:cs="Times New Roman"/>
          <w:szCs w:val="22"/>
        </w:rPr>
        <w:t xml:space="preserve"> Offer. No Notes purported to be tendered by a Sanctions Restricted Person pursuant to the </w:t>
      </w:r>
      <w:r w:rsidR="0071573F">
        <w:rPr>
          <w:rFonts w:ascii="Times New Roman" w:hAnsi="Times New Roman" w:cs="Times New Roman"/>
          <w:szCs w:val="22"/>
        </w:rPr>
        <w:t>Offer to Purchase</w:t>
      </w:r>
      <w:r w:rsidRPr="00FC3795">
        <w:rPr>
          <w:rFonts w:ascii="Times New Roman" w:hAnsi="Times New Roman" w:cs="Times New Roman"/>
          <w:szCs w:val="22"/>
        </w:rPr>
        <w:t xml:space="preserve"> will be accepted for purchase and no Sanctions Restricted Person will be eligible to receive any monetary amount in respect of the </w:t>
      </w:r>
      <w:r w:rsidR="009E18A7">
        <w:rPr>
          <w:rFonts w:ascii="Times New Roman" w:hAnsi="Times New Roman" w:cs="Times New Roman"/>
          <w:szCs w:val="22"/>
        </w:rPr>
        <w:t>Tender Offer Consideration in any circumstances</w:t>
      </w:r>
      <w:r w:rsidRPr="00FC3795">
        <w:rPr>
          <w:rFonts w:ascii="Times New Roman" w:hAnsi="Times New Roman" w:cs="Times New Roman"/>
          <w:szCs w:val="22"/>
        </w:rPr>
        <w:t>. The Issuer (or KMG Finance on the Issuer’s behalf), in its discretion, reserves the absolute right not to accept the tender of any Notes by a person whom it has reason to believe is or may be a Sanctions Restricted Person.</w:t>
      </w:r>
    </w:p>
    <w:p w14:paraId="2D7B522E" w14:textId="77777777" w:rsidR="003773FD" w:rsidRPr="00FC3795" w:rsidRDefault="00237A4A" w:rsidP="00B042F0">
      <w:pPr>
        <w:pStyle w:val="BodyText"/>
        <w:spacing w:after="120" w:line="240" w:lineRule="auto"/>
        <w:jc w:val="both"/>
        <w:rPr>
          <w:rFonts w:ascii="Times New Roman" w:hAnsi="Times New Roman" w:cs="Times New Roman"/>
          <w:b/>
          <w:szCs w:val="22"/>
        </w:rPr>
      </w:pPr>
      <w:r w:rsidRPr="00FC3795">
        <w:rPr>
          <w:rFonts w:ascii="Times New Roman" w:hAnsi="Times New Roman" w:cs="Times New Roman"/>
          <w:b/>
          <w:szCs w:val="22"/>
        </w:rPr>
        <w:t>United Kingdom</w:t>
      </w:r>
    </w:p>
    <w:p w14:paraId="6F0C6A34" w14:textId="4262CF95" w:rsidR="003773FD" w:rsidRPr="00FC3795" w:rsidRDefault="00CC0D42"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The communication of this announcement, 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and any other documents or materials relating to the </w:t>
      </w:r>
      <w:r w:rsidR="00F43305">
        <w:rPr>
          <w:rFonts w:ascii="Times New Roman" w:hAnsi="Times New Roman" w:cs="Times New Roman"/>
          <w:szCs w:val="22"/>
        </w:rPr>
        <w:t xml:space="preserve">Tender </w:t>
      </w:r>
      <w:r w:rsidRPr="00FC3795">
        <w:rPr>
          <w:rFonts w:ascii="Times New Roman" w:hAnsi="Times New Roman" w:cs="Times New Roman"/>
          <w:szCs w:val="22"/>
        </w:rPr>
        <w:t>Offer is not being made, and such documents and/or materials have not been approved, by an authorised person for the purposes of section 21 of the Financial Services and Markets Act 2000, as amended (the “</w:t>
      </w:r>
      <w:r w:rsidRPr="00FC3795">
        <w:rPr>
          <w:rFonts w:ascii="Times New Roman" w:hAnsi="Times New Roman" w:cs="Times New Roman"/>
          <w:b/>
          <w:szCs w:val="22"/>
        </w:rPr>
        <w:t>FSMA</w:t>
      </w:r>
      <w:r w:rsidRPr="00FC3795">
        <w:rPr>
          <w:rFonts w:ascii="Times New Roman" w:hAnsi="Times New Roman" w:cs="Times New Roman"/>
          <w:szCs w:val="22"/>
        </w:rPr>
        <w:t>”).  Accordingly, such documents and/or materials are not being distributed to, and must not be passed on to, the general public in the United Kingdom</w:t>
      </w:r>
      <w:r w:rsidR="00F43305">
        <w:rPr>
          <w:szCs w:val="20"/>
        </w:rPr>
        <w:t xml:space="preserve"> </w:t>
      </w:r>
      <w:r w:rsidR="00F43305" w:rsidRPr="00F43305">
        <w:rPr>
          <w:szCs w:val="20"/>
        </w:rPr>
        <w:t>other than (</w:t>
      </w:r>
      <w:proofErr w:type="spellStart"/>
      <w:r w:rsidR="00F43305" w:rsidRPr="00F43305">
        <w:rPr>
          <w:szCs w:val="20"/>
        </w:rPr>
        <w:t>i</w:t>
      </w:r>
      <w:proofErr w:type="spellEnd"/>
      <w:r w:rsidR="00F43305" w:rsidRPr="00F43305">
        <w:rPr>
          <w:szCs w:val="20"/>
        </w:rPr>
        <w:t>) to those persons in the United Kingdom falling within the definition of investment professionals (as defined in Article 19(5) of the Financial Services and Markets Act 2000 (Financial Promotion) Order 2005 (the “</w:t>
      </w:r>
      <w:r w:rsidR="00F43305" w:rsidRPr="003F0D01">
        <w:rPr>
          <w:b/>
          <w:bCs/>
          <w:szCs w:val="20"/>
        </w:rPr>
        <w:t>Financial Promotion Order</w:t>
      </w:r>
      <w:r w:rsidR="00F43305" w:rsidRPr="00F43305">
        <w:rPr>
          <w:szCs w:val="20"/>
        </w:rPr>
        <w:t>”)), (ii) to those persons who are within Article 43(2) of the Financial Promotion Order, including existing members and creditors of the Offerors, (iii) to those persons who are outside the United Kingdom, or (iv) to any other persons to whom it may otherwise lawfully be made under the Financial Promotion Order (all such persons together being referred to as “Relevant Persons”) and the transactions contemplated herein will be available only to, and engaged in only with, Relevant Persons. Any person who is not a Relevant Person should not act on or rely on t</w:t>
      </w:r>
      <w:r w:rsidR="00F43305">
        <w:rPr>
          <w:szCs w:val="20"/>
        </w:rPr>
        <w:t>his announcement</w:t>
      </w:r>
      <w:r w:rsidR="00F43305" w:rsidRPr="00F43305">
        <w:rPr>
          <w:szCs w:val="20"/>
        </w:rPr>
        <w:t xml:space="preserve"> or any of its contents.</w:t>
      </w:r>
    </w:p>
    <w:p w14:paraId="3E708764" w14:textId="77777777" w:rsidR="00E64AE5" w:rsidRPr="00FC3795" w:rsidRDefault="00E64AE5" w:rsidP="00B042F0">
      <w:pPr>
        <w:pStyle w:val="BodyText"/>
        <w:spacing w:after="120" w:line="240" w:lineRule="auto"/>
        <w:jc w:val="both"/>
        <w:rPr>
          <w:rFonts w:ascii="Times New Roman" w:hAnsi="Times New Roman" w:cs="Times New Roman"/>
          <w:b/>
          <w:szCs w:val="22"/>
        </w:rPr>
      </w:pPr>
      <w:r w:rsidRPr="00FC3795">
        <w:rPr>
          <w:rFonts w:ascii="Times New Roman" w:hAnsi="Times New Roman" w:cs="Times New Roman"/>
          <w:b/>
          <w:szCs w:val="22"/>
        </w:rPr>
        <w:t xml:space="preserve">Republic of Kazakhstan </w:t>
      </w:r>
    </w:p>
    <w:p w14:paraId="7E06EC11" w14:textId="2F1AEF71" w:rsidR="00E64AE5" w:rsidRPr="00FC3795" w:rsidRDefault="00E64AE5"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The </w:t>
      </w:r>
      <w:r>
        <w:rPr>
          <w:rFonts w:ascii="Times New Roman" w:hAnsi="Times New Roman" w:cs="Times New Roman"/>
          <w:szCs w:val="22"/>
        </w:rPr>
        <w:t xml:space="preserve">Tender </w:t>
      </w:r>
      <w:r w:rsidRPr="00FC3795">
        <w:rPr>
          <w:rFonts w:ascii="Times New Roman" w:hAnsi="Times New Roman" w:cs="Times New Roman"/>
          <w:szCs w:val="22"/>
        </w:rPr>
        <w:t xml:space="preserve">Offer </w:t>
      </w:r>
      <w:r>
        <w:rPr>
          <w:rFonts w:ascii="Times New Roman" w:hAnsi="Times New Roman" w:cs="Times New Roman"/>
          <w:szCs w:val="22"/>
        </w:rPr>
        <w:t>is</w:t>
      </w:r>
      <w:r w:rsidRPr="00FC3795">
        <w:rPr>
          <w:rFonts w:ascii="Times New Roman" w:hAnsi="Times New Roman" w:cs="Times New Roman"/>
          <w:szCs w:val="22"/>
        </w:rPr>
        <w:t xml:space="preserve"> not being made, directly or indirectly, in the Republic of Kazakhstan, except in compliance with the laws and regulations of the Republic of Kazakhstan, including the rules of the KASE</w:t>
      </w:r>
      <w:r>
        <w:rPr>
          <w:rFonts w:ascii="Times New Roman" w:hAnsi="Times New Roman" w:cs="Times New Roman"/>
          <w:szCs w:val="22"/>
        </w:rPr>
        <w:t xml:space="preserve"> and the AIX</w:t>
      </w:r>
      <w:r w:rsidRPr="00FC3795">
        <w:rPr>
          <w:rFonts w:ascii="Times New Roman" w:hAnsi="Times New Roman" w:cs="Times New Roman"/>
          <w:szCs w:val="22"/>
        </w:rPr>
        <w:t xml:space="preserve">. This announcement and 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have not been and will not be submitted for clearance to nor approved by the </w:t>
      </w:r>
      <w:r>
        <w:rPr>
          <w:rFonts w:ascii="Times New Roman" w:hAnsi="Times New Roman" w:cs="Times New Roman"/>
          <w:szCs w:val="22"/>
        </w:rPr>
        <w:t>Agency for Regulation and Development of the Financial Market of the Republic</w:t>
      </w:r>
      <w:r w:rsidRPr="00FC3795">
        <w:rPr>
          <w:rFonts w:ascii="Times New Roman" w:hAnsi="Times New Roman" w:cs="Times New Roman"/>
          <w:szCs w:val="22"/>
        </w:rPr>
        <w:t xml:space="preserve"> of Kazakhstan</w:t>
      </w:r>
      <w:r>
        <w:rPr>
          <w:rFonts w:ascii="Times New Roman" w:hAnsi="Times New Roman" w:cs="Times New Roman"/>
          <w:szCs w:val="22"/>
        </w:rPr>
        <w:t xml:space="preserve"> and the Astana Financial Services Authority</w:t>
      </w:r>
      <w:r w:rsidRPr="00FC3795">
        <w:rPr>
          <w:rFonts w:ascii="Times New Roman" w:hAnsi="Times New Roman" w:cs="Times New Roman"/>
          <w:szCs w:val="22"/>
        </w:rPr>
        <w:t>.</w:t>
      </w:r>
    </w:p>
    <w:p w14:paraId="1F8F9FDF" w14:textId="77777777" w:rsidR="00E64AE5" w:rsidRPr="00FC3795" w:rsidRDefault="00E64AE5" w:rsidP="00B042F0">
      <w:pPr>
        <w:pStyle w:val="Heading2"/>
        <w:numPr>
          <w:ilvl w:val="0"/>
          <w:numId w:val="0"/>
        </w:numPr>
        <w:spacing w:after="120" w:line="240" w:lineRule="auto"/>
        <w:ind w:left="709" w:hanging="709"/>
        <w:rPr>
          <w:rFonts w:ascii="Times New Roman" w:hAnsi="Times New Roman" w:cs="Times New Roman"/>
          <w:szCs w:val="22"/>
        </w:rPr>
      </w:pPr>
      <w:r w:rsidRPr="00FC3795">
        <w:rPr>
          <w:rFonts w:ascii="Times New Roman" w:hAnsi="Times New Roman" w:cs="Times New Roman"/>
          <w:szCs w:val="22"/>
        </w:rPr>
        <w:t>The Netherlands</w:t>
      </w:r>
    </w:p>
    <w:p w14:paraId="63F4F9FD" w14:textId="60EF607B" w:rsidR="00E64AE5" w:rsidRPr="00FC3795" w:rsidRDefault="00E64AE5" w:rsidP="00B042F0">
      <w:pPr>
        <w:pStyle w:val="BodyText"/>
        <w:spacing w:after="120" w:line="240" w:lineRule="auto"/>
        <w:jc w:val="both"/>
        <w:rPr>
          <w:rFonts w:ascii="Times New Roman" w:hAnsi="Times New Roman" w:cs="Times New Roman"/>
          <w:szCs w:val="22"/>
        </w:rPr>
      </w:pPr>
      <w:r w:rsidRPr="00FC3795">
        <w:rPr>
          <w:rFonts w:ascii="Times New Roman" w:hAnsi="Times New Roman" w:cs="Times New Roman"/>
          <w:szCs w:val="22"/>
        </w:rPr>
        <w:t xml:space="preserve">In the Netherlands, the </w:t>
      </w:r>
      <w:r w:rsidR="00497C1D">
        <w:rPr>
          <w:rFonts w:ascii="Times New Roman" w:hAnsi="Times New Roman" w:cs="Times New Roman"/>
          <w:szCs w:val="22"/>
        </w:rPr>
        <w:t xml:space="preserve">Tender </w:t>
      </w:r>
      <w:r w:rsidRPr="00FC3795">
        <w:rPr>
          <w:rFonts w:ascii="Times New Roman" w:hAnsi="Times New Roman" w:cs="Times New Roman"/>
          <w:szCs w:val="22"/>
        </w:rPr>
        <w:t xml:space="preserve">Offer will not, </w:t>
      </w:r>
      <w:proofErr w:type="gramStart"/>
      <w:r w:rsidRPr="00FC3795">
        <w:rPr>
          <w:rFonts w:ascii="Times New Roman" w:hAnsi="Times New Roman" w:cs="Times New Roman"/>
          <w:szCs w:val="22"/>
        </w:rPr>
        <w:t>directly</w:t>
      </w:r>
      <w:proofErr w:type="gramEnd"/>
      <w:r w:rsidRPr="00FC3795">
        <w:rPr>
          <w:rFonts w:ascii="Times New Roman" w:hAnsi="Times New Roman" w:cs="Times New Roman"/>
          <w:szCs w:val="22"/>
        </w:rPr>
        <w:t xml:space="preserve"> or indirectly, be made to, or for the account of, any person other than to qualified investors as referred to in </w:t>
      </w:r>
      <w:r>
        <w:rPr>
          <w:rFonts w:ascii="Times New Roman" w:hAnsi="Times New Roman" w:cs="Times New Roman"/>
          <w:szCs w:val="22"/>
        </w:rPr>
        <w:t>the Regulation EU (2017/1129), as amended (the “</w:t>
      </w:r>
      <w:r w:rsidRPr="00871FAE">
        <w:rPr>
          <w:rFonts w:ascii="Times New Roman" w:hAnsi="Times New Roman" w:cs="Times New Roman"/>
          <w:b/>
          <w:bCs/>
          <w:szCs w:val="22"/>
        </w:rPr>
        <w:t>Prospectus Regulation</w:t>
      </w:r>
      <w:r>
        <w:rPr>
          <w:rFonts w:ascii="Times New Roman" w:hAnsi="Times New Roman" w:cs="Times New Roman"/>
          <w:szCs w:val="22"/>
        </w:rPr>
        <w:t>”)</w:t>
      </w:r>
      <w:r w:rsidRPr="00FC3795">
        <w:rPr>
          <w:rFonts w:ascii="Times New Roman" w:hAnsi="Times New Roman" w:cs="Times New Roman"/>
          <w:szCs w:val="22"/>
        </w:rPr>
        <w:t>.</w:t>
      </w:r>
      <w:r>
        <w:rPr>
          <w:rFonts w:ascii="Times New Roman" w:hAnsi="Times New Roman" w:cs="Times New Roman"/>
          <w:szCs w:val="22"/>
        </w:rPr>
        <w:t xml:space="preserve"> </w:t>
      </w:r>
      <w:r w:rsidRPr="00FC3795">
        <w:rPr>
          <w:rFonts w:ascii="Times New Roman" w:hAnsi="Times New Roman" w:cs="Times New Roman"/>
          <w:szCs w:val="22"/>
        </w:rPr>
        <w:t xml:space="preserve">Neither this </w:t>
      </w:r>
      <w:r>
        <w:rPr>
          <w:rFonts w:ascii="Times New Roman" w:hAnsi="Times New Roman" w:cs="Times New Roman"/>
          <w:szCs w:val="22"/>
        </w:rPr>
        <w:t xml:space="preserve">announcement, nor 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nor any other documentation or material relating to the </w:t>
      </w:r>
      <w:r>
        <w:rPr>
          <w:rFonts w:ascii="Times New Roman" w:hAnsi="Times New Roman" w:cs="Times New Roman"/>
          <w:szCs w:val="22"/>
        </w:rPr>
        <w:t xml:space="preserve">Tender </w:t>
      </w:r>
      <w:r w:rsidRPr="00FC3795">
        <w:rPr>
          <w:rFonts w:ascii="Times New Roman" w:hAnsi="Times New Roman" w:cs="Times New Roman"/>
          <w:szCs w:val="22"/>
        </w:rPr>
        <w:t>Offer has been or will be submitted to the Dutch Authority for Financial Markets (</w:t>
      </w:r>
      <w:r w:rsidRPr="00FC3795">
        <w:rPr>
          <w:rFonts w:ascii="Times New Roman" w:hAnsi="Times New Roman" w:cs="Times New Roman"/>
          <w:i/>
          <w:szCs w:val="22"/>
        </w:rPr>
        <w:t xml:space="preserve">de </w:t>
      </w:r>
      <w:proofErr w:type="spellStart"/>
      <w:r w:rsidRPr="00FC3795">
        <w:rPr>
          <w:rFonts w:ascii="Times New Roman" w:hAnsi="Times New Roman" w:cs="Times New Roman"/>
          <w:i/>
          <w:szCs w:val="22"/>
        </w:rPr>
        <w:t>Autoriteit</w:t>
      </w:r>
      <w:proofErr w:type="spellEnd"/>
      <w:r w:rsidRPr="00FC3795">
        <w:rPr>
          <w:rFonts w:ascii="Times New Roman" w:hAnsi="Times New Roman" w:cs="Times New Roman"/>
          <w:i/>
          <w:szCs w:val="22"/>
        </w:rPr>
        <w:t xml:space="preserve"> </w:t>
      </w:r>
      <w:proofErr w:type="spellStart"/>
      <w:r w:rsidRPr="00FC3795">
        <w:rPr>
          <w:rFonts w:ascii="Times New Roman" w:hAnsi="Times New Roman" w:cs="Times New Roman"/>
          <w:i/>
          <w:szCs w:val="22"/>
        </w:rPr>
        <w:t>Financiële</w:t>
      </w:r>
      <w:proofErr w:type="spellEnd"/>
      <w:r w:rsidRPr="00FC3795">
        <w:rPr>
          <w:rFonts w:ascii="Times New Roman" w:hAnsi="Times New Roman" w:cs="Times New Roman"/>
          <w:i/>
          <w:szCs w:val="22"/>
        </w:rPr>
        <w:t xml:space="preserve"> </w:t>
      </w:r>
      <w:proofErr w:type="spellStart"/>
      <w:r w:rsidRPr="00FC3795">
        <w:rPr>
          <w:rFonts w:ascii="Times New Roman" w:hAnsi="Times New Roman" w:cs="Times New Roman"/>
          <w:i/>
          <w:szCs w:val="22"/>
        </w:rPr>
        <w:t>Markten</w:t>
      </w:r>
      <w:proofErr w:type="spellEnd"/>
      <w:r w:rsidRPr="00FC3795">
        <w:rPr>
          <w:rFonts w:ascii="Times New Roman" w:hAnsi="Times New Roman" w:cs="Times New Roman"/>
          <w:szCs w:val="22"/>
        </w:rPr>
        <w:t>) for approval. Therefore, neither this</w:t>
      </w:r>
      <w:r>
        <w:rPr>
          <w:rFonts w:ascii="Times New Roman" w:hAnsi="Times New Roman" w:cs="Times New Roman"/>
          <w:szCs w:val="22"/>
        </w:rPr>
        <w:t xml:space="preserve"> announcement, the</w:t>
      </w:r>
      <w:r w:rsidRPr="00FC3795">
        <w:rPr>
          <w:rFonts w:ascii="Times New Roman" w:hAnsi="Times New Roman" w:cs="Times New Roman"/>
          <w:szCs w:val="22"/>
        </w:rPr>
        <w:t xml:space="preserve"> </w:t>
      </w:r>
      <w:r w:rsidR="00497C1D">
        <w:rPr>
          <w:rFonts w:ascii="Times New Roman" w:hAnsi="Times New Roman" w:cs="Times New Roman"/>
          <w:szCs w:val="22"/>
        </w:rPr>
        <w:t>Offer to Purchase</w:t>
      </w:r>
      <w:r w:rsidRPr="00FC3795">
        <w:rPr>
          <w:rFonts w:ascii="Times New Roman" w:hAnsi="Times New Roman" w:cs="Times New Roman"/>
          <w:szCs w:val="22"/>
        </w:rPr>
        <w:t xml:space="preserve"> nor any other documentation or material relating to the </w:t>
      </w:r>
      <w:r>
        <w:rPr>
          <w:rFonts w:ascii="Times New Roman" w:hAnsi="Times New Roman" w:cs="Times New Roman"/>
          <w:szCs w:val="22"/>
        </w:rPr>
        <w:t xml:space="preserve">Tender </w:t>
      </w:r>
      <w:r w:rsidRPr="00FC3795">
        <w:rPr>
          <w:rFonts w:ascii="Times New Roman" w:hAnsi="Times New Roman" w:cs="Times New Roman"/>
          <w:szCs w:val="22"/>
        </w:rPr>
        <w:t xml:space="preserve">Offer qualify as an approved prospectus as meant in </w:t>
      </w:r>
      <w:r>
        <w:rPr>
          <w:rFonts w:ascii="Times New Roman" w:hAnsi="Times New Roman" w:cs="Times New Roman"/>
          <w:szCs w:val="22"/>
        </w:rPr>
        <w:t>the Prospectus Regulation</w:t>
      </w:r>
      <w:r w:rsidRPr="00FC3795">
        <w:rPr>
          <w:rFonts w:ascii="Times New Roman" w:hAnsi="Times New Roman" w:cs="Times New Roman"/>
          <w:szCs w:val="22"/>
        </w:rPr>
        <w:t xml:space="preserve">. Accordingly, in the </w:t>
      </w:r>
      <w:r w:rsidRPr="00FC3795">
        <w:rPr>
          <w:rFonts w:ascii="Times New Roman" w:hAnsi="Times New Roman" w:cs="Times New Roman"/>
          <w:szCs w:val="22"/>
        </w:rPr>
        <w:lastRenderedPageBreak/>
        <w:t xml:space="preserve">Netherlands, the </w:t>
      </w:r>
      <w:r>
        <w:rPr>
          <w:rFonts w:ascii="Times New Roman" w:hAnsi="Times New Roman" w:cs="Times New Roman"/>
          <w:szCs w:val="22"/>
        </w:rPr>
        <w:t xml:space="preserve">Tender </w:t>
      </w:r>
      <w:r w:rsidRPr="00FC3795">
        <w:rPr>
          <w:rFonts w:ascii="Times New Roman" w:hAnsi="Times New Roman" w:cs="Times New Roman"/>
          <w:szCs w:val="22"/>
        </w:rPr>
        <w:t xml:space="preserve">Offer may not be made by way of a public offer within the meaning of </w:t>
      </w:r>
      <w:r>
        <w:rPr>
          <w:rFonts w:ascii="Times New Roman" w:hAnsi="Times New Roman" w:cs="Times New Roman"/>
          <w:szCs w:val="22"/>
        </w:rPr>
        <w:t>the Prospectus Regulation</w:t>
      </w:r>
      <w:r w:rsidRPr="00FC3795">
        <w:rPr>
          <w:rFonts w:ascii="Times New Roman" w:hAnsi="Times New Roman" w:cs="Times New Roman"/>
          <w:szCs w:val="22"/>
        </w:rPr>
        <w:t xml:space="preserve"> and the </w:t>
      </w:r>
      <w:r>
        <w:rPr>
          <w:rFonts w:ascii="Times New Roman" w:hAnsi="Times New Roman" w:cs="Times New Roman"/>
          <w:szCs w:val="22"/>
        </w:rPr>
        <w:t xml:space="preserve">Tender </w:t>
      </w:r>
      <w:r w:rsidRPr="00FC3795">
        <w:rPr>
          <w:rFonts w:ascii="Times New Roman" w:hAnsi="Times New Roman" w:cs="Times New Roman"/>
          <w:szCs w:val="22"/>
        </w:rPr>
        <w:t>Offer may not be promoted and are not being made to, any person in the Netherlands (</w:t>
      </w:r>
      <w:proofErr w:type="gramStart"/>
      <w:r w:rsidRPr="00FC3795">
        <w:rPr>
          <w:rFonts w:ascii="Times New Roman" w:hAnsi="Times New Roman" w:cs="Times New Roman"/>
          <w:szCs w:val="22"/>
        </w:rPr>
        <w:t>with the exception of</w:t>
      </w:r>
      <w:proofErr w:type="gramEnd"/>
      <w:r w:rsidRPr="00FC3795">
        <w:rPr>
          <w:rFonts w:ascii="Times New Roman" w:hAnsi="Times New Roman" w:cs="Times New Roman"/>
          <w:szCs w:val="22"/>
        </w:rPr>
        <w:t xml:space="preserve"> “qualified investors” within the meaning of </w:t>
      </w:r>
      <w:r>
        <w:rPr>
          <w:rFonts w:ascii="Times New Roman" w:hAnsi="Times New Roman" w:cs="Times New Roman"/>
          <w:szCs w:val="22"/>
        </w:rPr>
        <w:t>the Prospectus Regulation</w:t>
      </w:r>
      <w:r w:rsidRPr="00FC3795">
        <w:rPr>
          <w:rFonts w:ascii="Times New Roman" w:hAnsi="Times New Roman" w:cs="Times New Roman"/>
          <w:szCs w:val="22"/>
        </w:rPr>
        <w:t>. This</w:t>
      </w:r>
      <w:r>
        <w:rPr>
          <w:rFonts w:ascii="Times New Roman" w:hAnsi="Times New Roman" w:cs="Times New Roman"/>
          <w:szCs w:val="22"/>
        </w:rPr>
        <w:t xml:space="preserve"> announcement, the</w:t>
      </w:r>
      <w:r w:rsidRPr="00FC3795">
        <w:rPr>
          <w:rFonts w:ascii="Times New Roman" w:hAnsi="Times New Roman" w:cs="Times New Roman"/>
          <w:szCs w:val="22"/>
        </w:rPr>
        <w:t xml:space="preserve"> </w:t>
      </w:r>
      <w:r w:rsidR="00497C1D">
        <w:rPr>
          <w:rFonts w:ascii="Times New Roman" w:hAnsi="Times New Roman" w:cs="Times New Roman"/>
          <w:szCs w:val="22"/>
        </w:rPr>
        <w:t>Offer to Purchase</w:t>
      </w:r>
      <w:r w:rsidRPr="00FC3795">
        <w:rPr>
          <w:rFonts w:ascii="Times New Roman" w:hAnsi="Times New Roman" w:cs="Times New Roman"/>
          <w:szCs w:val="22"/>
        </w:rPr>
        <w:t xml:space="preserve"> and any other documentation or material relating to the </w:t>
      </w:r>
      <w:r>
        <w:rPr>
          <w:rFonts w:ascii="Times New Roman" w:hAnsi="Times New Roman" w:cs="Times New Roman"/>
          <w:szCs w:val="22"/>
        </w:rPr>
        <w:t xml:space="preserve">Tender </w:t>
      </w:r>
      <w:r w:rsidRPr="00FC3795">
        <w:rPr>
          <w:rFonts w:ascii="Times New Roman" w:hAnsi="Times New Roman" w:cs="Times New Roman"/>
          <w:szCs w:val="22"/>
        </w:rPr>
        <w:t xml:space="preserve">Offer (including memoranda, information circulars, </w:t>
      </w:r>
      <w:proofErr w:type="gramStart"/>
      <w:r w:rsidRPr="00FC3795">
        <w:rPr>
          <w:rFonts w:ascii="Times New Roman" w:hAnsi="Times New Roman" w:cs="Times New Roman"/>
          <w:szCs w:val="22"/>
        </w:rPr>
        <w:t>brochures</w:t>
      </w:r>
      <w:proofErr w:type="gramEnd"/>
      <w:r w:rsidRPr="00FC3795">
        <w:rPr>
          <w:rFonts w:ascii="Times New Roman" w:hAnsi="Times New Roman" w:cs="Times New Roman"/>
          <w:szCs w:val="22"/>
        </w:rPr>
        <w:t xml:space="preserve"> or similar documents) have not been forwarded or made available to, and are not being forwarded or made available to, directly or indirectly, any such person.  </w:t>
      </w:r>
      <w:proofErr w:type="gramStart"/>
      <w:r w:rsidRPr="00FC3795">
        <w:rPr>
          <w:rFonts w:ascii="Times New Roman" w:hAnsi="Times New Roman" w:cs="Times New Roman"/>
          <w:szCs w:val="22"/>
        </w:rPr>
        <w:t>With regard to</w:t>
      </w:r>
      <w:proofErr w:type="gramEnd"/>
      <w:r w:rsidRPr="00FC3795">
        <w:rPr>
          <w:rFonts w:ascii="Times New Roman" w:hAnsi="Times New Roman" w:cs="Times New Roman"/>
          <w:szCs w:val="22"/>
        </w:rPr>
        <w:t xml:space="preserve"> the Netherlands, this</w:t>
      </w:r>
      <w:r>
        <w:rPr>
          <w:rFonts w:ascii="Times New Roman" w:hAnsi="Times New Roman" w:cs="Times New Roman"/>
          <w:szCs w:val="22"/>
        </w:rPr>
        <w:t xml:space="preserve"> announcement and</w:t>
      </w:r>
      <w:r w:rsidRPr="00FC3795">
        <w:rPr>
          <w:rFonts w:ascii="Times New Roman" w:hAnsi="Times New Roman" w:cs="Times New Roman"/>
          <w:szCs w:val="22"/>
        </w:rPr>
        <w:t xml:space="preserve"> </w:t>
      </w:r>
      <w:r>
        <w:rPr>
          <w:rFonts w:ascii="Times New Roman" w:hAnsi="Times New Roman" w:cs="Times New Roman"/>
          <w:szCs w:val="22"/>
        </w:rPr>
        <w:t xml:space="preserve">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w:t>
      </w:r>
      <w:r>
        <w:rPr>
          <w:rFonts w:ascii="Times New Roman" w:hAnsi="Times New Roman" w:cs="Times New Roman"/>
          <w:szCs w:val="22"/>
        </w:rPr>
        <w:t>have been</w:t>
      </w:r>
      <w:r w:rsidRPr="00FC3795">
        <w:rPr>
          <w:rFonts w:ascii="Times New Roman" w:hAnsi="Times New Roman" w:cs="Times New Roman"/>
          <w:szCs w:val="22"/>
        </w:rPr>
        <w:t xml:space="preserve"> transmitted only for personal use by the aforementioned qualified investors and only for the purpose of the </w:t>
      </w:r>
      <w:r>
        <w:rPr>
          <w:rFonts w:ascii="Times New Roman" w:hAnsi="Times New Roman" w:cs="Times New Roman"/>
          <w:szCs w:val="22"/>
        </w:rPr>
        <w:t xml:space="preserve">Tender </w:t>
      </w:r>
      <w:r w:rsidRPr="00FC3795">
        <w:rPr>
          <w:rFonts w:ascii="Times New Roman" w:hAnsi="Times New Roman" w:cs="Times New Roman"/>
          <w:szCs w:val="22"/>
        </w:rPr>
        <w:t>Offer. Accordingly, the information contained in this</w:t>
      </w:r>
      <w:r>
        <w:rPr>
          <w:rFonts w:ascii="Times New Roman" w:hAnsi="Times New Roman" w:cs="Times New Roman"/>
          <w:szCs w:val="22"/>
        </w:rPr>
        <w:t xml:space="preserve"> announcement and the</w:t>
      </w:r>
      <w:r w:rsidRPr="00FC3795">
        <w:rPr>
          <w:rFonts w:ascii="Times New Roman" w:hAnsi="Times New Roman" w:cs="Times New Roman"/>
          <w:szCs w:val="22"/>
        </w:rPr>
        <w:t xml:space="preserve"> </w:t>
      </w:r>
      <w:r w:rsidR="00497C1D">
        <w:rPr>
          <w:rFonts w:ascii="Times New Roman" w:hAnsi="Times New Roman" w:cs="Times New Roman"/>
          <w:szCs w:val="22"/>
        </w:rPr>
        <w:t>Offer to Purchase</w:t>
      </w:r>
      <w:r w:rsidRPr="00FC3795">
        <w:rPr>
          <w:rFonts w:ascii="Times New Roman" w:hAnsi="Times New Roman" w:cs="Times New Roman"/>
          <w:szCs w:val="22"/>
        </w:rPr>
        <w:t xml:space="preserve"> may not be used for any other purpose or be transmitted to any other person in the Netherlands.</w:t>
      </w:r>
    </w:p>
    <w:p w14:paraId="4A532F45" w14:textId="606FF987" w:rsidR="003773FD" w:rsidRPr="00FC3795" w:rsidRDefault="00237A4A" w:rsidP="00B042F0">
      <w:pPr>
        <w:widowControl w:val="0"/>
        <w:spacing w:after="120"/>
        <w:jc w:val="both"/>
        <w:textAlignment w:val="baseline"/>
        <w:rPr>
          <w:rFonts w:ascii="Times New Roman" w:hAnsi="Times New Roman" w:cs="Times New Roman"/>
          <w:b/>
          <w:color w:val="000000" w:themeColor="text2"/>
          <w:szCs w:val="22"/>
        </w:rPr>
      </w:pPr>
      <w:r w:rsidRPr="00FC3795">
        <w:rPr>
          <w:rFonts w:ascii="Times New Roman" w:hAnsi="Times New Roman" w:cs="Times New Roman"/>
          <w:b/>
          <w:color w:val="000000" w:themeColor="text2"/>
          <w:szCs w:val="22"/>
        </w:rPr>
        <w:t>Italy</w:t>
      </w:r>
    </w:p>
    <w:p w14:paraId="455C4053" w14:textId="0EB02FDC" w:rsidR="00354F61" w:rsidRDefault="00237A4A" w:rsidP="00B042F0">
      <w:pPr>
        <w:pStyle w:val="BodyText"/>
        <w:spacing w:after="120" w:line="240" w:lineRule="auto"/>
        <w:jc w:val="both"/>
        <w:rPr>
          <w:rFonts w:ascii="Times New Roman" w:hAnsi="Times New Roman" w:cs="Times New Roman"/>
          <w:color w:val="auto"/>
          <w:szCs w:val="22"/>
        </w:rPr>
      </w:pPr>
      <w:r w:rsidRPr="00FC3795">
        <w:rPr>
          <w:rFonts w:ascii="Times New Roman" w:hAnsi="Times New Roman" w:cs="Times New Roman"/>
          <w:szCs w:val="22"/>
        </w:rPr>
        <w:br/>
        <w:t>N</w:t>
      </w:r>
      <w:r w:rsidR="00ED1E4B">
        <w:rPr>
          <w:rFonts w:ascii="Times New Roman" w:hAnsi="Times New Roman" w:cs="Times New Roman"/>
          <w:szCs w:val="22"/>
        </w:rPr>
        <w:t>one of</w:t>
      </w:r>
      <w:r w:rsidRPr="00FC3795">
        <w:rPr>
          <w:rFonts w:ascii="Times New Roman" w:hAnsi="Times New Roman" w:cs="Times New Roman"/>
          <w:szCs w:val="22"/>
        </w:rPr>
        <w:t xml:space="preserve"> this announcement, </w:t>
      </w:r>
      <w:r w:rsidR="00ED1E4B">
        <w:rPr>
          <w:rFonts w:ascii="Times New Roman" w:hAnsi="Times New Roman" w:cs="Times New Roman"/>
          <w:szCs w:val="22"/>
        </w:rPr>
        <w:t xml:space="preserve">the </w:t>
      </w:r>
      <w:r w:rsidR="00354F61">
        <w:rPr>
          <w:rFonts w:ascii="Times New Roman" w:hAnsi="Times New Roman" w:cs="Times New Roman"/>
          <w:szCs w:val="22"/>
        </w:rPr>
        <w:t xml:space="preserve">Tender </w:t>
      </w:r>
      <w:r w:rsidR="00ED1E4B">
        <w:rPr>
          <w:rFonts w:ascii="Times New Roman" w:hAnsi="Times New Roman" w:cs="Times New Roman"/>
          <w:szCs w:val="22"/>
        </w:rPr>
        <w:t xml:space="preserve">Offer, </w:t>
      </w:r>
      <w:r w:rsidRPr="00FC3795">
        <w:rPr>
          <w:rFonts w:ascii="Times New Roman" w:hAnsi="Times New Roman" w:cs="Times New Roman"/>
          <w:szCs w:val="22"/>
        </w:rPr>
        <w:t xml:space="preserve">the </w:t>
      </w:r>
      <w:r w:rsidR="00497C1D">
        <w:rPr>
          <w:rFonts w:ascii="Times New Roman" w:hAnsi="Times New Roman" w:cs="Times New Roman"/>
          <w:szCs w:val="22"/>
        </w:rPr>
        <w:t>Offer to Purchase</w:t>
      </w:r>
      <w:r w:rsidRPr="00FC3795">
        <w:rPr>
          <w:rFonts w:ascii="Times New Roman" w:hAnsi="Times New Roman" w:cs="Times New Roman"/>
          <w:szCs w:val="22"/>
        </w:rPr>
        <w:t xml:space="preserve"> nor any other documents or materials relating to the </w:t>
      </w:r>
      <w:r w:rsidR="00354F61">
        <w:rPr>
          <w:rFonts w:ascii="Times New Roman" w:hAnsi="Times New Roman" w:cs="Times New Roman"/>
          <w:szCs w:val="22"/>
        </w:rPr>
        <w:t xml:space="preserve">Tender </w:t>
      </w:r>
      <w:r w:rsidRPr="00FC3795">
        <w:rPr>
          <w:rFonts w:ascii="Times New Roman" w:hAnsi="Times New Roman" w:cs="Times New Roman"/>
          <w:szCs w:val="22"/>
        </w:rPr>
        <w:t>Offer have been or will be submitted to the clearance procedure</w:t>
      </w:r>
      <w:r w:rsidR="00517D28">
        <w:rPr>
          <w:rFonts w:ascii="Times New Roman" w:hAnsi="Times New Roman" w:cs="Times New Roman"/>
          <w:szCs w:val="22"/>
        </w:rPr>
        <w:t>s</w:t>
      </w:r>
      <w:r w:rsidRPr="00FC3795">
        <w:rPr>
          <w:rFonts w:ascii="Times New Roman" w:hAnsi="Times New Roman" w:cs="Times New Roman"/>
          <w:szCs w:val="22"/>
        </w:rPr>
        <w:t xml:space="preserve"> of the </w:t>
      </w:r>
      <w:r w:rsidRPr="00517D28">
        <w:rPr>
          <w:rFonts w:ascii="Times New Roman" w:hAnsi="Times New Roman" w:cs="Times New Roman"/>
          <w:i/>
          <w:szCs w:val="22"/>
        </w:rPr>
        <w:t xml:space="preserve">Commission Nazionale per le </w:t>
      </w:r>
      <w:proofErr w:type="spellStart"/>
      <w:r w:rsidRPr="00517D28">
        <w:rPr>
          <w:rFonts w:ascii="Times New Roman" w:hAnsi="Times New Roman" w:cs="Times New Roman"/>
          <w:i/>
          <w:szCs w:val="22"/>
        </w:rPr>
        <w:t>Società</w:t>
      </w:r>
      <w:proofErr w:type="spellEnd"/>
      <w:r w:rsidRPr="00517D28">
        <w:rPr>
          <w:rFonts w:ascii="Times New Roman" w:hAnsi="Times New Roman" w:cs="Times New Roman"/>
          <w:i/>
          <w:szCs w:val="22"/>
        </w:rPr>
        <w:t xml:space="preserve"> e la </w:t>
      </w:r>
      <w:proofErr w:type="spellStart"/>
      <w:r w:rsidRPr="00517D28">
        <w:rPr>
          <w:rFonts w:ascii="Times New Roman" w:hAnsi="Times New Roman" w:cs="Times New Roman"/>
          <w:i/>
          <w:szCs w:val="22"/>
        </w:rPr>
        <w:t>Borsa</w:t>
      </w:r>
      <w:proofErr w:type="spellEnd"/>
      <w:r w:rsidRPr="00517D28">
        <w:rPr>
          <w:rFonts w:ascii="Times New Roman" w:hAnsi="Times New Roman" w:cs="Times New Roman"/>
          <w:i/>
          <w:szCs w:val="22"/>
        </w:rPr>
        <w:t xml:space="preserve"> </w:t>
      </w:r>
      <w:r w:rsidRPr="00FC3795">
        <w:rPr>
          <w:rFonts w:ascii="Times New Roman" w:hAnsi="Times New Roman" w:cs="Times New Roman"/>
          <w:szCs w:val="22"/>
        </w:rPr>
        <w:t>(“</w:t>
      </w:r>
      <w:r w:rsidRPr="00FC3795">
        <w:rPr>
          <w:rFonts w:ascii="Times New Roman" w:hAnsi="Times New Roman" w:cs="Times New Roman"/>
          <w:b/>
          <w:szCs w:val="22"/>
        </w:rPr>
        <w:t>CONSOB</w:t>
      </w:r>
      <w:r w:rsidRPr="00FC3795">
        <w:rPr>
          <w:rFonts w:ascii="Times New Roman" w:hAnsi="Times New Roman" w:cs="Times New Roman"/>
          <w:szCs w:val="22"/>
        </w:rPr>
        <w:t xml:space="preserve">”) pursuant to Italian laws and regulations.  The </w:t>
      </w:r>
      <w:r w:rsidR="00354F61">
        <w:rPr>
          <w:rFonts w:ascii="Times New Roman" w:hAnsi="Times New Roman" w:cs="Times New Roman"/>
          <w:szCs w:val="22"/>
        </w:rPr>
        <w:t>Tender Offer is</w:t>
      </w:r>
      <w:r w:rsidRPr="00FC3795">
        <w:rPr>
          <w:rFonts w:ascii="Times New Roman" w:hAnsi="Times New Roman" w:cs="Times New Roman"/>
          <w:szCs w:val="22"/>
        </w:rPr>
        <w:t xml:space="preserve"> being carried out in Italy as</w:t>
      </w:r>
      <w:r w:rsidR="00354F61">
        <w:rPr>
          <w:rFonts w:ascii="Times New Roman" w:hAnsi="Times New Roman" w:cs="Times New Roman"/>
          <w:szCs w:val="22"/>
        </w:rPr>
        <w:t xml:space="preserve"> an</w:t>
      </w:r>
      <w:r w:rsidRPr="00FC3795">
        <w:rPr>
          <w:rFonts w:ascii="Times New Roman" w:hAnsi="Times New Roman" w:cs="Times New Roman"/>
          <w:szCs w:val="22"/>
        </w:rPr>
        <w:t xml:space="preserve"> exempted offer pursuant to article 101-bis, paragraph 3-bis of the Legislative Decree No. 58 of 24 </w:t>
      </w:r>
      <w:r w:rsidRPr="00517D28">
        <w:rPr>
          <w:rFonts w:ascii="Times New Roman" w:hAnsi="Times New Roman" w:cs="Times New Roman"/>
          <w:color w:val="auto"/>
          <w:szCs w:val="22"/>
        </w:rPr>
        <w:t>February 1998, as amended (the “</w:t>
      </w:r>
      <w:r w:rsidR="00517D28" w:rsidRPr="00517D28">
        <w:rPr>
          <w:rFonts w:ascii="Times New Roman" w:hAnsi="Times New Roman" w:cs="Times New Roman"/>
          <w:b/>
          <w:color w:val="auto"/>
          <w:szCs w:val="22"/>
        </w:rPr>
        <w:t xml:space="preserve">Italian </w:t>
      </w:r>
      <w:r w:rsidRPr="00517D28">
        <w:rPr>
          <w:rFonts w:ascii="Times New Roman" w:hAnsi="Times New Roman" w:cs="Times New Roman"/>
          <w:b/>
          <w:color w:val="auto"/>
          <w:szCs w:val="22"/>
        </w:rPr>
        <w:t>Financial Services Act</w:t>
      </w:r>
      <w:r w:rsidRPr="00517D28">
        <w:rPr>
          <w:rFonts w:ascii="Times New Roman" w:hAnsi="Times New Roman" w:cs="Times New Roman"/>
          <w:color w:val="auto"/>
          <w:szCs w:val="22"/>
        </w:rPr>
        <w:t>”), and article 35-bis, paragraph 4 of CONSOB Regulation No. 1</w:t>
      </w:r>
      <w:r w:rsidR="00517D28" w:rsidRPr="00517D28">
        <w:rPr>
          <w:rFonts w:ascii="Times New Roman" w:hAnsi="Times New Roman" w:cs="Times New Roman"/>
          <w:color w:val="auto"/>
          <w:szCs w:val="22"/>
        </w:rPr>
        <w:t>1971 of 14 May 1999, as amended</w:t>
      </w:r>
      <w:r w:rsidRPr="00517D28">
        <w:rPr>
          <w:rFonts w:ascii="Times New Roman" w:hAnsi="Times New Roman" w:cs="Times New Roman"/>
          <w:color w:val="auto"/>
          <w:szCs w:val="22"/>
        </w:rPr>
        <w:t xml:space="preserve">.  </w:t>
      </w:r>
    </w:p>
    <w:p w14:paraId="744956EF" w14:textId="011C7352" w:rsidR="00CC0D42" w:rsidRPr="00517D28" w:rsidRDefault="00517D28" w:rsidP="00B042F0">
      <w:pPr>
        <w:pStyle w:val="BodyText"/>
        <w:spacing w:after="120" w:line="240" w:lineRule="auto"/>
        <w:jc w:val="both"/>
        <w:rPr>
          <w:rFonts w:ascii="Times New Roman" w:hAnsi="Times New Roman" w:cs="Times New Roman"/>
          <w:color w:val="auto"/>
          <w:szCs w:val="22"/>
        </w:rPr>
      </w:pPr>
      <w:r w:rsidRPr="00517D28">
        <w:rPr>
          <w:color w:val="auto"/>
        </w:rPr>
        <w:t xml:space="preserve">Holders or beneficial owners of the Notes that are </w:t>
      </w:r>
      <w:r w:rsidR="00354F61">
        <w:rPr>
          <w:color w:val="auto"/>
        </w:rPr>
        <w:t xml:space="preserve">resident and/ or </w:t>
      </w:r>
      <w:r w:rsidRPr="00517D28">
        <w:rPr>
          <w:color w:val="auto"/>
        </w:rPr>
        <w:t xml:space="preserve">located in Italy can tender Notes for purchase in the </w:t>
      </w:r>
      <w:r w:rsidR="00354F61">
        <w:rPr>
          <w:color w:val="auto"/>
        </w:rPr>
        <w:t xml:space="preserve">Tender </w:t>
      </w:r>
      <w:r w:rsidRPr="00517D28">
        <w:rPr>
          <w:color w:val="auto"/>
        </w:rPr>
        <w:t xml:space="preserve">Offer through authorised persons (such as investment firms, banks or financial intermediaries permitted to conduct such activities in the Republic of Italy in accordance with the Italian Financial Services Act, CONSOB Regulation No. 20307 of 15 February 2018, as amended, and Legislative Decree No. 385 of 1 September 1993, as amended) and in compliance with </w:t>
      </w:r>
      <w:r w:rsidR="00BA6F22">
        <w:rPr>
          <w:color w:val="auto"/>
        </w:rPr>
        <w:t xml:space="preserve">any other </w:t>
      </w:r>
      <w:r w:rsidRPr="00517D28">
        <w:rPr>
          <w:color w:val="auto"/>
        </w:rPr>
        <w:t xml:space="preserve">applicable laws and regulations </w:t>
      </w:r>
      <w:r w:rsidR="00BA6F22">
        <w:rPr>
          <w:color w:val="auto"/>
        </w:rPr>
        <w:t>and</w:t>
      </w:r>
      <w:r w:rsidR="00BA6F22" w:rsidRPr="00517D28">
        <w:rPr>
          <w:color w:val="auto"/>
        </w:rPr>
        <w:t xml:space="preserve"> </w:t>
      </w:r>
      <w:r w:rsidRPr="00517D28">
        <w:rPr>
          <w:color w:val="auto"/>
        </w:rPr>
        <w:t xml:space="preserve">with </w:t>
      </w:r>
      <w:r w:rsidR="00BA6F22">
        <w:rPr>
          <w:color w:val="auto"/>
        </w:rPr>
        <w:t xml:space="preserve">any </w:t>
      </w:r>
      <w:r w:rsidRPr="00517D28">
        <w:rPr>
          <w:color w:val="auto"/>
        </w:rPr>
        <w:t xml:space="preserve">requirements imposed by CONSOB </w:t>
      </w:r>
      <w:r w:rsidR="00BA6F22">
        <w:rPr>
          <w:color w:val="auto"/>
        </w:rPr>
        <w:t>and</w:t>
      </w:r>
      <w:r w:rsidR="00BA6F22" w:rsidRPr="00517D28">
        <w:rPr>
          <w:color w:val="auto"/>
        </w:rPr>
        <w:t xml:space="preserve"> </w:t>
      </w:r>
      <w:r w:rsidRPr="00517D28">
        <w:rPr>
          <w:color w:val="auto"/>
        </w:rPr>
        <w:t xml:space="preserve">any other Italian authority. Each intermediary must comply with the applicable laws and regulations concerning information duties vis-à-vis its clients in connection with the Notes or the </w:t>
      </w:r>
      <w:r w:rsidR="00E42199">
        <w:rPr>
          <w:color w:val="auto"/>
        </w:rPr>
        <w:t xml:space="preserve">Tender </w:t>
      </w:r>
      <w:r w:rsidRPr="00517D28">
        <w:rPr>
          <w:color w:val="auto"/>
        </w:rPr>
        <w:t>Offer</w:t>
      </w:r>
      <w:r>
        <w:rPr>
          <w:color w:val="auto"/>
        </w:rPr>
        <w:t xml:space="preserve">, this </w:t>
      </w:r>
      <w:proofErr w:type="gramStart"/>
      <w:r>
        <w:rPr>
          <w:color w:val="auto"/>
        </w:rPr>
        <w:t>announcement</w:t>
      </w:r>
      <w:proofErr w:type="gramEnd"/>
      <w:r w:rsidRPr="00517D28">
        <w:rPr>
          <w:color w:val="auto"/>
        </w:rPr>
        <w:t xml:space="preserve"> or </w:t>
      </w:r>
      <w:r>
        <w:rPr>
          <w:color w:val="auto"/>
        </w:rPr>
        <w:t>the</w:t>
      </w:r>
      <w:r w:rsidRPr="00517D28">
        <w:rPr>
          <w:color w:val="auto"/>
        </w:rPr>
        <w:t xml:space="preserve"> </w:t>
      </w:r>
      <w:r w:rsidR="00497C1D">
        <w:rPr>
          <w:color w:val="auto"/>
        </w:rPr>
        <w:t>Offer to Purchase</w:t>
      </w:r>
      <w:r w:rsidRPr="00517D28">
        <w:rPr>
          <w:color w:val="auto"/>
        </w:rPr>
        <w:t>.</w:t>
      </w:r>
    </w:p>
    <w:p w14:paraId="56723642" w14:textId="6A50F517" w:rsidR="003773FD" w:rsidRPr="00B042F0" w:rsidRDefault="00237A4A" w:rsidP="00B042F0">
      <w:pPr>
        <w:widowControl w:val="0"/>
        <w:spacing w:after="120"/>
        <w:jc w:val="both"/>
        <w:textAlignment w:val="baseline"/>
        <w:rPr>
          <w:rFonts w:ascii="Times New Roman" w:hAnsi="Times New Roman" w:cs="Times New Roman"/>
          <w:b/>
          <w:color w:val="000000" w:themeColor="text2"/>
          <w:szCs w:val="22"/>
        </w:rPr>
      </w:pPr>
      <w:r w:rsidRPr="00FC3795">
        <w:rPr>
          <w:rFonts w:ascii="Times New Roman" w:hAnsi="Times New Roman" w:cs="Times New Roman"/>
          <w:b/>
          <w:color w:val="000000" w:themeColor="text2"/>
          <w:szCs w:val="22"/>
        </w:rPr>
        <w:t>France</w:t>
      </w:r>
      <w:r w:rsidRPr="00FC3795">
        <w:rPr>
          <w:rFonts w:ascii="Times New Roman" w:hAnsi="Times New Roman" w:cs="Times New Roman"/>
          <w:szCs w:val="22"/>
        </w:rPr>
        <w:br/>
      </w:r>
      <w:r w:rsidR="00CC0D42" w:rsidRPr="00FC3795">
        <w:rPr>
          <w:rFonts w:ascii="Times New Roman" w:hAnsi="Times New Roman" w:cs="Times New Roman"/>
          <w:szCs w:val="22"/>
        </w:rPr>
        <w:t xml:space="preserve">The </w:t>
      </w:r>
      <w:r w:rsidR="00072AD5">
        <w:rPr>
          <w:rFonts w:ascii="Times New Roman" w:hAnsi="Times New Roman" w:cs="Times New Roman"/>
          <w:szCs w:val="22"/>
        </w:rPr>
        <w:t xml:space="preserve">Tender </w:t>
      </w:r>
      <w:r w:rsidR="00CC0D42" w:rsidRPr="00FC3795">
        <w:rPr>
          <w:rFonts w:ascii="Times New Roman" w:hAnsi="Times New Roman" w:cs="Times New Roman"/>
          <w:szCs w:val="22"/>
        </w:rPr>
        <w:t>Offer</w:t>
      </w:r>
      <w:r w:rsidR="00FC3795" w:rsidRPr="00FC3795">
        <w:rPr>
          <w:rFonts w:ascii="Times New Roman" w:hAnsi="Times New Roman" w:cs="Times New Roman"/>
          <w:szCs w:val="22"/>
        </w:rPr>
        <w:t xml:space="preserve"> </w:t>
      </w:r>
      <w:r w:rsidR="00072AD5">
        <w:rPr>
          <w:rFonts w:ascii="Times New Roman" w:hAnsi="Times New Roman" w:cs="Times New Roman"/>
          <w:szCs w:val="22"/>
        </w:rPr>
        <w:t>is</w:t>
      </w:r>
      <w:r w:rsidR="00CC0D42" w:rsidRPr="00FC3795">
        <w:rPr>
          <w:rFonts w:ascii="Times New Roman" w:hAnsi="Times New Roman" w:cs="Times New Roman"/>
          <w:szCs w:val="22"/>
        </w:rPr>
        <w:t xml:space="preserve"> not being made, directly or indirectly, to the public in the Republic of France.  Neither this announcement, nor the </w:t>
      </w:r>
      <w:r w:rsidR="00497C1D">
        <w:rPr>
          <w:rFonts w:ascii="Times New Roman" w:hAnsi="Times New Roman" w:cs="Times New Roman"/>
          <w:szCs w:val="22"/>
        </w:rPr>
        <w:t>Offer to Purchase</w:t>
      </w:r>
      <w:r w:rsidR="00CC0D42" w:rsidRPr="00FC3795">
        <w:rPr>
          <w:rFonts w:ascii="Times New Roman" w:hAnsi="Times New Roman" w:cs="Times New Roman"/>
          <w:szCs w:val="22"/>
        </w:rPr>
        <w:t xml:space="preserve"> nor any other documentation or material relating to the </w:t>
      </w:r>
      <w:r w:rsidR="00871FAE">
        <w:rPr>
          <w:rFonts w:ascii="Times New Roman" w:hAnsi="Times New Roman" w:cs="Times New Roman"/>
          <w:szCs w:val="22"/>
        </w:rPr>
        <w:t xml:space="preserve">Tender </w:t>
      </w:r>
      <w:r w:rsidR="00CC0D42" w:rsidRPr="00FC3795">
        <w:rPr>
          <w:rFonts w:ascii="Times New Roman" w:hAnsi="Times New Roman" w:cs="Times New Roman"/>
          <w:szCs w:val="22"/>
        </w:rPr>
        <w:t>Offer</w:t>
      </w:r>
      <w:r w:rsidR="00FC3795" w:rsidRPr="00FC3795">
        <w:rPr>
          <w:rFonts w:ascii="Times New Roman" w:hAnsi="Times New Roman" w:cs="Times New Roman"/>
          <w:szCs w:val="22"/>
        </w:rPr>
        <w:t>s</w:t>
      </w:r>
      <w:r w:rsidR="00CC0D42" w:rsidRPr="00FC3795">
        <w:rPr>
          <w:rFonts w:ascii="Times New Roman" w:hAnsi="Times New Roman" w:cs="Times New Roman"/>
          <w:szCs w:val="22"/>
        </w:rPr>
        <w:t xml:space="preserve"> </w:t>
      </w:r>
      <w:r w:rsidR="00517D28">
        <w:rPr>
          <w:rFonts w:ascii="Times New Roman" w:hAnsi="Times New Roman" w:cs="Times New Roman"/>
          <w:szCs w:val="22"/>
        </w:rPr>
        <w:t>ha</w:t>
      </w:r>
      <w:r w:rsidR="00072AD5">
        <w:rPr>
          <w:rFonts w:ascii="Times New Roman" w:hAnsi="Times New Roman" w:cs="Times New Roman"/>
          <w:szCs w:val="22"/>
        </w:rPr>
        <w:t>ve</w:t>
      </w:r>
      <w:r w:rsidR="00517D28">
        <w:rPr>
          <w:rFonts w:ascii="Times New Roman" w:hAnsi="Times New Roman" w:cs="Times New Roman"/>
          <w:szCs w:val="22"/>
        </w:rPr>
        <w:t xml:space="preserve"> been or shall be distributed to the public in France and only</w:t>
      </w:r>
      <w:r w:rsidR="00CC0D42" w:rsidRPr="00FC3795">
        <w:rPr>
          <w:rFonts w:ascii="Times New Roman" w:hAnsi="Times New Roman" w:cs="Times New Roman"/>
          <w:szCs w:val="22"/>
        </w:rPr>
        <w:t xml:space="preserve"> qualified investors (</w:t>
      </w:r>
      <w:proofErr w:type="spellStart"/>
      <w:r w:rsidR="00CC0D42" w:rsidRPr="00FC3795">
        <w:rPr>
          <w:rFonts w:ascii="Times New Roman" w:hAnsi="Times New Roman" w:cs="Times New Roman"/>
          <w:i/>
          <w:szCs w:val="22"/>
        </w:rPr>
        <w:t>investisseurs</w:t>
      </w:r>
      <w:proofErr w:type="spellEnd"/>
      <w:r w:rsidR="00CC0D42" w:rsidRPr="00FC3795">
        <w:rPr>
          <w:rFonts w:ascii="Times New Roman" w:hAnsi="Times New Roman" w:cs="Times New Roman"/>
          <w:i/>
          <w:szCs w:val="22"/>
        </w:rPr>
        <w:t xml:space="preserve"> </w:t>
      </w:r>
      <w:proofErr w:type="spellStart"/>
      <w:r w:rsidR="00CC0D42" w:rsidRPr="00FC3795">
        <w:rPr>
          <w:rFonts w:ascii="Times New Roman" w:hAnsi="Times New Roman" w:cs="Times New Roman"/>
          <w:i/>
          <w:szCs w:val="22"/>
        </w:rPr>
        <w:t>qualifiés</w:t>
      </w:r>
      <w:proofErr w:type="spellEnd"/>
      <w:r w:rsidR="00CC0D42" w:rsidRPr="00FC3795">
        <w:rPr>
          <w:rFonts w:ascii="Times New Roman" w:hAnsi="Times New Roman" w:cs="Times New Roman"/>
          <w:szCs w:val="22"/>
        </w:rPr>
        <w:t xml:space="preserve">) </w:t>
      </w:r>
      <w:r w:rsidR="00517D28">
        <w:rPr>
          <w:rFonts w:ascii="Times New Roman" w:hAnsi="Times New Roman" w:cs="Times New Roman"/>
          <w:szCs w:val="22"/>
        </w:rPr>
        <w:t xml:space="preserve">within the meaning of Article 2(e) </w:t>
      </w:r>
      <w:r w:rsidR="00871FAE">
        <w:rPr>
          <w:rFonts w:ascii="Times New Roman" w:hAnsi="Times New Roman" w:cs="Times New Roman"/>
          <w:szCs w:val="22"/>
        </w:rPr>
        <w:t xml:space="preserve">of the </w:t>
      </w:r>
      <w:r w:rsidR="00517D28" w:rsidRPr="00871FAE">
        <w:rPr>
          <w:rFonts w:ascii="Times New Roman" w:hAnsi="Times New Roman" w:cs="Times New Roman"/>
          <w:bCs/>
          <w:szCs w:val="22"/>
        </w:rPr>
        <w:t>Prospectus Regulation</w:t>
      </w:r>
      <w:r w:rsidR="00CC0D42" w:rsidRPr="00FC3795">
        <w:rPr>
          <w:rFonts w:ascii="Times New Roman" w:hAnsi="Times New Roman" w:cs="Times New Roman"/>
          <w:szCs w:val="22"/>
        </w:rPr>
        <w:t xml:space="preserve"> </w:t>
      </w:r>
      <w:r w:rsidR="00517D28">
        <w:rPr>
          <w:rFonts w:ascii="Times New Roman" w:hAnsi="Times New Roman" w:cs="Times New Roman"/>
          <w:szCs w:val="22"/>
        </w:rPr>
        <w:t>are eligible to</w:t>
      </w:r>
      <w:r w:rsidR="00CC0D42" w:rsidRPr="00FC3795">
        <w:rPr>
          <w:rFonts w:ascii="Times New Roman" w:hAnsi="Times New Roman" w:cs="Times New Roman"/>
          <w:szCs w:val="22"/>
        </w:rPr>
        <w:t xml:space="preserve"> participate in the </w:t>
      </w:r>
      <w:r w:rsidR="00072AD5">
        <w:rPr>
          <w:rFonts w:ascii="Times New Roman" w:hAnsi="Times New Roman" w:cs="Times New Roman"/>
          <w:szCs w:val="22"/>
        </w:rPr>
        <w:t xml:space="preserve">Tender </w:t>
      </w:r>
      <w:r w:rsidR="00CC0D42" w:rsidRPr="00FC3795">
        <w:rPr>
          <w:rFonts w:ascii="Times New Roman" w:hAnsi="Times New Roman" w:cs="Times New Roman"/>
          <w:szCs w:val="22"/>
        </w:rPr>
        <w:t xml:space="preserve">Offer.  This announcement and the </w:t>
      </w:r>
      <w:r w:rsidR="00497C1D">
        <w:rPr>
          <w:rFonts w:ascii="Times New Roman" w:hAnsi="Times New Roman" w:cs="Times New Roman"/>
          <w:szCs w:val="22"/>
        </w:rPr>
        <w:t>Offer to Purchase</w:t>
      </w:r>
      <w:r w:rsidR="00CC0D42" w:rsidRPr="00FC3795">
        <w:rPr>
          <w:rFonts w:ascii="Times New Roman" w:hAnsi="Times New Roman" w:cs="Times New Roman"/>
          <w:szCs w:val="22"/>
        </w:rPr>
        <w:t xml:space="preserve"> have not been</w:t>
      </w:r>
      <w:r w:rsidR="00C918C4">
        <w:rPr>
          <w:rFonts w:ascii="Times New Roman" w:hAnsi="Times New Roman" w:cs="Times New Roman"/>
          <w:szCs w:val="22"/>
        </w:rPr>
        <w:t xml:space="preserve"> and will not be</w:t>
      </w:r>
      <w:r w:rsidR="00CC0D42" w:rsidRPr="00FC3795">
        <w:rPr>
          <w:rFonts w:ascii="Times New Roman" w:hAnsi="Times New Roman" w:cs="Times New Roman"/>
          <w:szCs w:val="22"/>
        </w:rPr>
        <w:t xml:space="preserve"> submitted </w:t>
      </w:r>
      <w:r w:rsidR="00072AD5">
        <w:rPr>
          <w:rFonts w:ascii="Times New Roman" w:hAnsi="Times New Roman" w:cs="Times New Roman"/>
          <w:szCs w:val="22"/>
        </w:rPr>
        <w:t>to the</w:t>
      </w:r>
      <w:r w:rsidR="00072AD5" w:rsidRPr="00FC3795">
        <w:rPr>
          <w:rFonts w:ascii="Times New Roman" w:hAnsi="Times New Roman" w:cs="Times New Roman"/>
          <w:szCs w:val="22"/>
        </w:rPr>
        <w:t xml:space="preserve"> </w:t>
      </w:r>
      <w:r w:rsidR="00CC0D42" w:rsidRPr="00FC3795">
        <w:rPr>
          <w:rFonts w:ascii="Times New Roman" w:hAnsi="Times New Roman" w:cs="Times New Roman"/>
          <w:szCs w:val="22"/>
        </w:rPr>
        <w:t>clearance</w:t>
      </w:r>
      <w:r w:rsidR="00072AD5" w:rsidRPr="00072AD5">
        <w:t xml:space="preserve"> </w:t>
      </w:r>
      <w:r w:rsidR="00072AD5" w:rsidRPr="00072AD5">
        <w:rPr>
          <w:rFonts w:ascii="Times New Roman" w:hAnsi="Times New Roman" w:cs="Times New Roman"/>
          <w:szCs w:val="22"/>
        </w:rPr>
        <w:t xml:space="preserve">procedures </w:t>
      </w:r>
      <w:r w:rsidR="00BA7B01" w:rsidRPr="00BA7B01">
        <w:rPr>
          <w:rFonts w:ascii="Times New Roman" w:hAnsi="Times New Roman" w:cs="Times New Roman"/>
          <w:szCs w:val="22"/>
        </w:rPr>
        <w:t>(</w:t>
      </w:r>
      <w:r w:rsidR="00BA7B01" w:rsidRPr="00E91086">
        <w:rPr>
          <w:rFonts w:ascii="Times New Roman" w:hAnsi="Times New Roman" w:cs="Times New Roman"/>
          <w:i/>
          <w:iCs/>
          <w:szCs w:val="22"/>
        </w:rPr>
        <w:t>visa</w:t>
      </w:r>
      <w:r w:rsidR="00BA7B01" w:rsidRPr="00BA7B01">
        <w:rPr>
          <w:rFonts w:ascii="Times New Roman" w:hAnsi="Times New Roman" w:cs="Times New Roman"/>
          <w:szCs w:val="22"/>
        </w:rPr>
        <w:t xml:space="preserve">) of the </w:t>
      </w:r>
      <w:proofErr w:type="spellStart"/>
      <w:r w:rsidR="00BA7B01" w:rsidRPr="00E91086">
        <w:rPr>
          <w:rFonts w:ascii="Times New Roman" w:hAnsi="Times New Roman" w:cs="Times New Roman"/>
          <w:i/>
          <w:iCs/>
          <w:szCs w:val="22"/>
        </w:rPr>
        <w:t>Autorité</w:t>
      </w:r>
      <w:proofErr w:type="spellEnd"/>
      <w:r w:rsidR="00BA7B01" w:rsidRPr="00E91086">
        <w:rPr>
          <w:rFonts w:ascii="Times New Roman" w:hAnsi="Times New Roman" w:cs="Times New Roman"/>
          <w:i/>
          <w:iCs/>
          <w:szCs w:val="22"/>
        </w:rPr>
        <w:t xml:space="preserve"> des </w:t>
      </w:r>
      <w:proofErr w:type="spellStart"/>
      <w:r w:rsidR="00BA7B01" w:rsidRPr="00E91086">
        <w:rPr>
          <w:rFonts w:ascii="Times New Roman" w:hAnsi="Times New Roman" w:cs="Times New Roman"/>
          <w:i/>
          <w:iCs/>
          <w:szCs w:val="22"/>
        </w:rPr>
        <w:t>marchés</w:t>
      </w:r>
      <w:proofErr w:type="spellEnd"/>
      <w:r w:rsidR="00BA7B01" w:rsidRPr="00E91086">
        <w:rPr>
          <w:rFonts w:ascii="Times New Roman" w:hAnsi="Times New Roman" w:cs="Times New Roman"/>
          <w:i/>
          <w:iCs/>
          <w:szCs w:val="22"/>
        </w:rPr>
        <w:t xml:space="preserve"> financiers</w:t>
      </w:r>
      <w:r w:rsidR="00CC0D42" w:rsidRPr="00FC3795">
        <w:rPr>
          <w:rFonts w:ascii="Times New Roman" w:hAnsi="Times New Roman" w:cs="Times New Roman"/>
          <w:szCs w:val="22"/>
        </w:rPr>
        <w:t>.</w:t>
      </w:r>
    </w:p>
    <w:p w14:paraId="513F7F5A" w14:textId="77777777" w:rsidR="00E64AE5" w:rsidRDefault="00E64AE5" w:rsidP="00B042F0">
      <w:pPr>
        <w:widowControl w:val="0"/>
        <w:spacing w:after="120"/>
        <w:jc w:val="both"/>
        <w:textAlignment w:val="baseline"/>
        <w:rPr>
          <w:rFonts w:ascii="Times New Roman" w:hAnsi="Times New Roman" w:cs="Times New Roman"/>
          <w:b/>
          <w:color w:val="000000" w:themeColor="text2"/>
          <w:szCs w:val="22"/>
        </w:rPr>
      </w:pPr>
      <w:r w:rsidRPr="00E91086">
        <w:rPr>
          <w:rFonts w:ascii="Times New Roman" w:hAnsi="Times New Roman" w:cs="Times New Roman"/>
          <w:b/>
          <w:color w:val="000000" w:themeColor="text2"/>
          <w:szCs w:val="22"/>
        </w:rPr>
        <w:t>Belgium</w:t>
      </w:r>
    </w:p>
    <w:p w14:paraId="03BB53CD" w14:textId="15284D41" w:rsidR="00F03965" w:rsidRPr="009C6B1B" w:rsidRDefault="00E64AE5" w:rsidP="009C6B1B">
      <w:pPr>
        <w:pStyle w:val="BodyText"/>
        <w:spacing w:after="120" w:line="240" w:lineRule="auto"/>
        <w:jc w:val="both"/>
        <w:rPr>
          <w:b/>
          <w:sz w:val="24"/>
        </w:rPr>
      </w:pPr>
      <w:r w:rsidRPr="00E91086">
        <w:rPr>
          <w:lang w:eastAsia="en-US"/>
        </w:rPr>
        <w:t xml:space="preserve">Neither </w:t>
      </w:r>
      <w:r w:rsidR="00670772" w:rsidRPr="00E91086">
        <w:rPr>
          <w:lang w:eastAsia="en-US"/>
        </w:rPr>
        <w:t xml:space="preserve">this announcement, the </w:t>
      </w:r>
      <w:r w:rsidR="00497C1D" w:rsidRPr="00E91086">
        <w:rPr>
          <w:lang w:eastAsia="en-US"/>
        </w:rPr>
        <w:t>Offer to Purchase</w:t>
      </w:r>
      <w:r w:rsidR="00670772" w:rsidRPr="00E91086">
        <w:rPr>
          <w:lang w:eastAsia="en-US"/>
        </w:rPr>
        <w:t xml:space="preserve"> and any other documents or materials relating to the Tender Offer </w:t>
      </w:r>
      <w:r w:rsidRPr="00E91086">
        <w:rPr>
          <w:lang w:eastAsia="en-US"/>
        </w:rPr>
        <w:t>have been submitted to or will be submitted for approval or recognition to the Financial Services and Markets Authority (</w:t>
      </w:r>
      <w:proofErr w:type="spellStart"/>
      <w:r w:rsidRPr="00E91086">
        <w:rPr>
          <w:i/>
          <w:lang w:eastAsia="en-US"/>
        </w:rPr>
        <w:t>Autorité</w:t>
      </w:r>
      <w:proofErr w:type="spellEnd"/>
      <w:r w:rsidRPr="00E91086">
        <w:rPr>
          <w:lang w:eastAsia="en-US"/>
        </w:rPr>
        <w:t xml:space="preserve"> </w:t>
      </w:r>
      <w:r w:rsidRPr="00E91086">
        <w:rPr>
          <w:i/>
          <w:lang w:eastAsia="en-US"/>
        </w:rPr>
        <w:t>des</w:t>
      </w:r>
      <w:r w:rsidRPr="00E91086">
        <w:rPr>
          <w:lang w:eastAsia="en-US"/>
        </w:rPr>
        <w:t xml:space="preserve"> </w:t>
      </w:r>
      <w:r w:rsidRPr="00E91086">
        <w:rPr>
          <w:i/>
          <w:lang w:eastAsia="en-US"/>
        </w:rPr>
        <w:t>services</w:t>
      </w:r>
      <w:r w:rsidRPr="00E91086">
        <w:rPr>
          <w:lang w:eastAsia="en-US"/>
        </w:rPr>
        <w:t xml:space="preserve"> </w:t>
      </w:r>
      <w:r w:rsidRPr="00E91086">
        <w:rPr>
          <w:i/>
          <w:lang w:eastAsia="en-US"/>
        </w:rPr>
        <w:t>et</w:t>
      </w:r>
      <w:r w:rsidRPr="00E91086">
        <w:rPr>
          <w:lang w:eastAsia="en-US"/>
        </w:rPr>
        <w:t xml:space="preserve"> </w:t>
      </w:r>
      <w:proofErr w:type="spellStart"/>
      <w:r w:rsidRPr="00E91086">
        <w:rPr>
          <w:i/>
          <w:lang w:eastAsia="en-US"/>
        </w:rPr>
        <w:t>marchés</w:t>
      </w:r>
      <w:proofErr w:type="spellEnd"/>
      <w:r w:rsidRPr="00E91086">
        <w:rPr>
          <w:lang w:eastAsia="en-US"/>
        </w:rPr>
        <w:t xml:space="preserve"> </w:t>
      </w:r>
      <w:r w:rsidRPr="00E91086">
        <w:rPr>
          <w:i/>
          <w:lang w:eastAsia="en-US"/>
        </w:rPr>
        <w:t>financiers</w:t>
      </w:r>
      <w:r w:rsidRPr="00E91086">
        <w:rPr>
          <w:lang w:eastAsia="en-US"/>
        </w:rPr>
        <w:t xml:space="preserve"> </w:t>
      </w:r>
      <w:r w:rsidRPr="00E91086">
        <w:rPr>
          <w:i/>
          <w:lang w:eastAsia="en-US"/>
        </w:rPr>
        <w:t>/</w:t>
      </w:r>
      <w:r w:rsidRPr="00E91086">
        <w:rPr>
          <w:lang w:eastAsia="en-US"/>
        </w:rPr>
        <w:t xml:space="preserve"> </w:t>
      </w:r>
      <w:proofErr w:type="spellStart"/>
      <w:r w:rsidRPr="00E91086">
        <w:rPr>
          <w:i/>
          <w:lang w:eastAsia="en-US"/>
        </w:rPr>
        <w:t>Autoriteit</w:t>
      </w:r>
      <w:proofErr w:type="spellEnd"/>
      <w:r w:rsidRPr="00E91086">
        <w:rPr>
          <w:lang w:eastAsia="en-US"/>
        </w:rPr>
        <w:t xml:space="preserve"> </w:t>
      </w:r>
      <w:proofErr w:type="spellStart"/>
      <w:r w:rsidRPr="00E91086">
        <w:rPr>
          <w:i/>
          <w:lang w:eastAsia="en-US"/>
        </w:rPr>
        <w:t>voor</w:t>
      </w:r>
      <w:proofErr w:type="spellEnd"/>
      <w:r w:rsidRPr="00E91086">
        <w:rPr>
          <w:lang w:eastAsia="en-US"/>
        </w:rPr>
        <w:t xml:space="preserve"> </w:t>
      </w:r>
      <w:proofErr w:type="spellStart"/>
      <w:r w:rsidRPr="00E91086">
        <w:rPr>
          <w:i/>
          <w:lang w:eastAsia="en-US"/>
        </w:rPr>
        <w:t>financiële</w:t>
      </w:r>
      <w:proofErr w:type="spellEnd"/>
      <w:r w:rsidRPr="00E91086">
        <w:rPr>
          <w:lang w:eastAsia="en-US"/>
        </w:rPr>
        <w:t xml:space="preserve"> </w:t>
      </w:r>
      <w:proofErr w:type="spellStart"/>
      <w:r w:rsidRPr="00E91086">
        <w:rPr>
          <w:i/>
          <w:lang w:eastAsia="en-US"/>
        </w:rPr>
        <w:t>diensten</w:t>
      </w:r>
      <w:proofErr w:type="spellEnd"/>
      <w:r w:rsidRPr="00E91086">
        <w:rPr>
          <w:lang w:eastAsia="en-US"/>
        </w:rPr>
        <w:t xml:space="preserve"> </w:t>
      </w:r>
      <w:proofErr w:type="spellStart"/>
      <w:r w:rsidRPr="00E91086">
        <w:rPr>
          <w:i/>
          <w:lang w:eastAsia="en-US"/>
        </w:rPr>
        <w:t>en</w:t>
      </w:r>
      <w:proofErr w:type="spellEnd"/>
      <w:r w:rsidRPr="00E91086">
        <w:rPr>
          <w:lang w:eastAsia="en-US"/>
        </w:rPr>
        <w:t xml:space="preserve"> </w:t>
      </w:r>
      <w:proofErr w:type="spellStart"/>
      <w:r w:rsidRPr="00E91086">
        <w:rPr>
          <w:i/>
          <w:lang w:eastAsia="en-US"/>
        </w:rPr>
        <w:t>markten</w:t>
      </w:r>
      <w:proofErr w:type="spellEnd"/>
      <w:r w:rsidRPr="00E91086">
        <w:rPr>
          <w:lang w:eastAsia="en-US"/>
        </w:rPr>
        <w:t>) and, accordingly, the Tender Offer may not be made in Belgium by way of a public</w:t>
      </w:r>
      <w:r w:rsidRPr="00E91086">
        <w:rPr>
          <w:spacing w:val="-8"/>
          <w:lang w:eastAsia="en-US"/>
        </w:rPr>
        <w:t xml:space="preserve"> </w:t>
      </w:r>
      <w:r w:rsidRPr="00E91086">
        <w:rPr>
          <w:lang w:eastAsia="en-US"/>
        </w:rPr>
        <w:t>offering,</w:t>
      </w:r>
      <w:r w:rsidRPr="00E91086">
        <w:rPr>
          <w:spacing w:val="-6"/>
          <w:lang w:eastAsia="en-US"/>
        </w:rPr>
        <w:t xml:space="preserve"> </w:t>
      </w:r>
      <w:r w:rsidRPr="00E91086">
        <w:rPr>
          <w:lang w:eastAsia="en-US"/>
        </w:rPr>
        <w:t>as</w:t>
      </w:r>
      <w:r w:rsidRPr="00E91086">
        <w:rPr>
          <w:spacing w:val="-9"/>
          <w:lang w:eastAsia="en-US"/>
        </w:rPr>
        <w:t xml:space="preserve"> </w:t>
      </w:r>
      <w:r w:rsidRPr="00E91086">
        <w:rPr>
          <w:lang w:eastAsia="en-US"/>
        </w:rPr>
        <w:t>defined</w:t>
      </w:r>
      <w:r w:rsidRPr="00E91086">
        <w:rPr>
          <w:spacing w:val="-7"/>
          <w:lang w:eastAsia="en-US"/>
        </w:rPr>
        <w:t xml:space="preserve"> </w:t>
      </w:r>
      <w:r w:rsidRPr="00E91086">
        <w:rPr>
          <w:lang w:eastAsia="en-US"/>
        </w:rPr>
        <w:t>in</w:t>
      </w:r>
      <w:r w:rsidRPr="00E91086">
        <w:rPr>
          <w:spacing w:val="-9"/>
          <w:lang w:eastAsia="en-US"/>
        </w:rPr>
        <w:t xml:space="preserve"> </w:t>
      </w:r>
      <w:r w:rsidRPr="00E91086">
        <w:rPr>
          <w:lang w:eastAsia="en-US"/>
        </w:rPr>
        <w:t>Articles</w:t>
      </w:r>
      <w:r w:rsidRPr="00E91086">
        <w:rPr>
          <w:spacing w:val="-8"/>
          <w:lang w:eastAsia="en-US"/>
        </w:rPr>
        <w:t xml:space="preserve"> </w:t>
      </w:r>
      <w:r w:rsidRPr="00E91086">
        <w:rPr>
          <w:lang w:eastAsia="en-US"/>
        </w:rPr>
        <w:t>3</w:t>
      </w:r>
      <w:r w:rsidRPr="00E91086">
        <w:rPr>
          <w:spacing w:val="-7"/>
          <w:lang w:eastAsia="en-US"/>
        </w:rPr>
        <w:t xml:space="preserve"> </w:t>
      </w:r>
      <w:r w:rsidRPr="00E91086">
        <w:rPr>
          <w:lang w:eastAsia="en-US"/>
        </w:rPr>
        <w:t>and</w:t>
      </w:r>
      <w:r w:rsidRPr="00E91086">
        <w:rPr>
          <w:spacing w:val="-9"/>
          <w:lang w:eastAsia="en-US"/>
        </w:rPr>
        <w:t xml:space="preserve"> </w:t>
      </w:r>
      <w:r w:rsidRPr="00E91086">
        <w:rPr>
          <w:lang w:eastAsia="en-US"/>
        </w:rPr>
        <w:t>6</w:t>
      </w:r>
      <w:r w:rsidRPr="00E91086">
        <w:rPr>
          <w:spacing w:val="-7"/>
          <w:lang w:eastAsia="en-US"/>
        </w:rPr>
        <w:t xml:space="preserve"> </w:t>
      </w:r>
      <w:r w:rsidRPr="00E91086">
        <w:rPr>
          <w:lang w:eastAsia="en-US"/>
        </w:rPr>
        <w:t>of</w:t>
      </w:r>
      <w:r w:rsidRPr="00E91086">
        <w:rPr>
          <w:spacing w:val="-6"/>
          <w:lang w:eastAsia="en-US"/>
        </w:rPr>
        <w:t xml:space="preserve"> </w:t>
      </w:r>
      <w:r w:rsidRPr="00E91086">
        <w:rPr>
          <w:lang w:eastAsia="en-US"/>
        </w:rPr>
        <w:t>the</w:t>
      </w:r>
      <w:r w:rsidRPr="00E91086">
        <w:rPr>
          <w:spacing w:val="-7"/>
          <w:lang w:eastAsia="en-US"/>
        </w:rPr>
        <w:t xml:space="preserve"> </w:t>
      </w:r>
      <w:r w:rsidRPr="00E91086">
        <w:rPr>
          <w:lang w:eastAsia="en-US"/>
        </w:rPr>
        <w:t>Belgian</w:t>
      </w:r>
      <w:r w:rsidRPr="00E91086">
        <w:rPr>
          <w:spacing w:val="-7"/>
          <w:lang w:eastAsia="en-US"/>
        </w:rPr>
        <w:t xml:space="preserve"> </w:t>
      </w:r>
      <w:r w:rsidRPr="00E91086">
        <w:rPr>
          <w:lang w:eastAsia="en-US"/>
        </w:rPr>
        <w:t>Law</w:t>
      </w:r>
      <w:r w:rsidRPr="00E91086">
        <w:rPr>
          <w:spacing w:val="-8"/>
          <w:lang w:eastAsia="en-US"/>
        </w:rPr>
        <w:t xml:space="preserve"> </w:t>
      </w:r>
      <w:r w:rsidRPr="00E91086">
        <w:rPr>
          <w:lang w:eastAsia="en-US"/>
        </w:rPr>
        <w:t>of</w:t>
      </w:r>
      <w:r w:rsidRPr="00E91086">
        <w:rPr>
          <w:spacing w:val="-7"/>
          <w:lang w:eastAsia="en-US"/>
        </w:rPr>
        <w:t xml:space="preserve"> </w:t>
      </w:r>
      <w:r w:rsidRPr="00E91086">
        <w:rPr>
          <w:lang w:eastAsia="en-US"/>
        </w:rPr>
        <w:t>April</w:t>
      </w:r>
      <w:r w:rsidRPr="00E91086">
        <w:rPr>
          <w:spacing w:val="-8"/>
          <w:lang w:eastAsia="en-US"/>
        </w:rPr>
        <w:t xml:space="preserve"> </w:t>
      </w:r>
      <w:r w:rsidRPr="00E91086">
        <w:rPr>
          <w:lang w:eastAsia="en-US"/>
        </w:rPr>
        <w:t>1,</w:t>
      </w:r>
      <w:r w:rsidRPr="00E91086">
        <w:rPr>
          <w:spacing w:val="-8"/>
          <w:lang w:eastAsia="en-US"/>
        </w:rPr>
        <w:t xml:space="preserve"> </w:t>
      </w:r>
      <w:r w:rsidRPr="00E91086">
        <w:rPr>
          <w:lang w:eastAsia="en-US"/>
        </w:rPr>
        <w:t>2007</w:t>
      </w:r>
      <w:r w:rsidRPr="00E91086">
        <w:rPr>
          <w:spacing w:val="-8"/>
          <w:lang w:eastAsia="en-US"/>
        </w:rPr>
        <w:t xml:space="preserve"> </w:t>
      </w:r>
      <w:r w:rsidRPr="00E91086">
        <w:rPr>
          <w:lang w:eastAsia="en-US"/>
        </w:rPr>
        <w:t>on</w:t>
      </w:r>
      <w:r w:rsidRPr="00E91086">
        <w:rPr>
          <w:spacing w:val="-9"/>
          <w:lang w:eastAsia="en-US"/>
        </w:rPr>
        <w:t xml:space="preserve"> </w:t>
      </w:r>
      <w:r w:rsidRPr="00E91086">
        <w:rPr>
          <w:lang w:eastAsia="en-US"/>
        </w:rPr>
        <w:t>public</w:t>
      </w:r>
      <w:r w:rsidRPr="00E91086">
        <w:rPr>
          <w:spacing w:val="-7"/>
          <w:lang w:eastAsia="en-US"/>
        </w:rPr>
        <w:t xml:space="preserve"> </w:t>
      </w:r>
      <w:r w:rsidRPr="00E91086">
        <w:rPr>
          <w:lang w:eastAsia="en-US"/>
        </w:rPr>
        <w:t>takeover</w:t>
      </w:r>
      <w:r w:rsidRPr="00E91086">
        <w:rPr>
          <w:spacing w:val="-9"/>
          <w:lang w:eastAsia="en-US"/>
        </w:rPr>
        <w:t xml:space="preserve"> </w:t>
      </w:r>
      <w:r w:rsidRPr="00E91086">
        <w:rPr>
          <w:lang w:eastAsia="en-US"/>
        </w:rPr>
        <w:t>bids</w:t>
      </w:r>
      <w:r w:rsidRPr="00E91086">
        <w:rPr>
          <w:spacing w:val="-8"/>
          <w:lang w:eastAsia="en-US"/>
        </w:rPr>
        <w:t xml:space="preserve"> </w:t>
      </w:r>
      <w:r w:rsidRPr="00E91086">
        <w:rPr>
          <w:lang w:eastAsia="en-US"/>
        </w:rPr>
        <w:t>as</w:t>
      </w:r>
      <w:r w:rsidRPr="00E91086">
        <w:rPr>
          <w:spacing w:val="-7"/>
          <w:lang w:eastAsia="en-US"/>
        </w:rPr>
        <w:t xml:space="preserve"> </w:t>
      </w:r>
      <w:r w:rsidRPr="00E91086">
        <w:rPr>
          <w:lang w:eastAsia="en-US"/>
        </w:rPr>
        <w:t>amended or</w:t>
      </w:r>
      <w:r w:rsidRPr="00E91086">
        <w:rPr>
          <w:spacing w:val="-4"/>
          <w:lang w:eastAsia="en-US"/>
        </w:rPr>
        <w:t xml:space="preserve"> </w:t>
      </w:r>
      <w:r w:rsidRPr="00E91086">
        <w:rPr>
          <w:lang w:eastAsia="en-US"/>
        </w:rPr>
        <w:t>replaced</w:t>
      </w:r>
      <w:r w:rsidRPr="00E91086">
        <w:rPr>
          <w:spacing w:val="-3"/>
          <w:lang w:eastAsia="en-US"/>
        </w:rPr>
        <w:t xml:space="preserve"> </w:t>
      </w:r>
      <w:r w:rsidRPr="00E91086">
        <w:rPr>
          <w:lang w:eastAsia="en-US"/>
        </w:rPr>
        <w:t>from</w:t>
      </w:r>
      <w:r w:rsidRPr="00E91086">
        <w:rPr>
          <w:spacing w:val="-3"/>
          <w:lang w:eastAsia="en-US"/>
        </w:rPr>
        <w:t xml:space="preserve"> </w:t>
      </w:r>
      <w:r w:rsidRPr="00E91086">
        <w:rPr>
          <w:lang w:eastAsia="en-US"/>
        </w:rPr>
        <w:t>time-to-time.</w:t>
      </w:r>
      <w:r w:rsidRPr="00E91086">
        <w:rPr>
          <w:spacing w:val="-3"/>
          <w:lang w:eastAsia="en-US"/>
        </w:rPr>
        <w:t xml:space="preserve"> </w:t>
      </w:r>
      <w:r w:rsidRPr="00E91086">
        <w:rPr>
          <w:lang w:eastAsia="en-US"/>
        </w:rPr>
        <w:t>Accordingly,</w:t>
      </w:r>
      <w:r w:rsidRPr="00E91086">
        <w:rPr>
          <w:spacing w:val="-4"/>
          <w:lang w:eastAsia="en-US"/>
        </w:rPr>
        <w:t xml:space="preserve"> </w:t>
      </w:r>
      <w:r w:rsidRPr="00E91086">
        <w:rPr>
          <w:lang w:eastAsia="en-US"/>
        </w:rPr>
        <w:t>the</w:t>
      </w:r>
      <w:r w:rsidRPr="00E91086">
        <w:rPr>
          <w:spacing w:val="-3"/>
          <w:lang w:eastAsia="en-US"/>
        </w:rPr>
        <w:t xml:space="preserve"> </w:t>
      </w:r>
      <w:r w:rsidRPr="00E91086">
        <w:rPr>
          <w:lang w:eastAsia="en-US"/>
        </w:rPr>
        <w:t>Tender</w:t>
      </w:r>
      <w:r w:rsidRPr="00E91086">
        <w:rPr>
          <w:spacing w:val="-4"/>
          <w:lang w:eastAsia="en-US"/>
        </w:rPr>
        <w:t xml:space="preserve"> </w:t>
      </w:r>
      <w:r w:rsidRPr="00E91086">
        <w:rPr>
          <w:lang w:eastAsia="en-US"/>
        </w:rPr>
        <w:t>Offer</w:t>
      </w:r>
      <w:r w:rsidRPr="00E91086">
        <w:rPr>
          <w:spacing w:val="-3"/>
          <w:lang w:eastAsia="en-US"/>
        </w:rPr>
        <w:t xml:space="preserve"> </w:t>
      </w:r>
      <w:r w:rsidRPr="00E91086">
        <w:rPr>
          <w:lang w:eastAsia="en-US"/>
        </w:rPr>
        <w:t>may</w:t>
      </w:r>
      <w:r w:rsidRPr="00E91086">
        <w:rPr>
          <w:spacing w:val="-2"/>
          <w:lang w:eastAsia="en-US"/>
        </w:rPr>
        <w:t xml:space="preserve"> </w:t>
      </w:r>
      <w:r w:rsidRPr="00E91086">
        <w:rPr>
          <w:lang w:eastAsia="en-US"/>
        </w:rPr>
        <w:t>not</w:t>
      </w:r>
      <w:r w:rsidRPr="00E91086">
        <w:rPr>
          <w:spacing w:val="-4"/>
          <w:lang w:eastAsia="en-US"/>
        </w:rPr>
        <w:t xml:space="preserve"> </w:t>
      </w:r>
      <w:r w:rsidRPr="00E91086">
        <w:rPr>
          <w:lang w:eastAsia="en-US"/>
        </w:rPr>
        <w:t>be</w:t>
      </w:r>
      <w:r w:rsidRPr="00E91086">
        <w:rPr>
          <w:spacing w:val="-4"/>
          <w:lang w:eastAsia="en-US"/>
        </w:rPr>
        <w:t xml:space="preserve"> </w:t>
      </w:r>
      <w:r w:rsidRPr="00E91086">
        <w:rPr>
          <w:lang w:eastAsia="en-US"/>
        </w:rPr>
        <w:t>advertised</w:t>
      </w:r>
      <w:r w:rsidRPr="00E91086">
        <w:rPr>
          <w:spacing w:val="-2"/>
          <w:lang w:eastAsia="en-US"/>
        </w:rPr>
        <w:t xml:space="preserve"> </w:t>
      </w:r>
      <w:r w:rsidRPr="00E91086">
        <w:rPr>
          <w:lang w:eastAsia="en-US"/>
        </w:rPr>
        <w:t>and</w:t>
      </w:r>
      <w:r w:rsidRPr="00E91086">
        <w:rPr>
          <w:spacing w:val="-4"/>
          <w:lang w:eastAsia="en-US"/>
        </w:rPr>
        <w:t xml:space="preserve"> </w:t>
      </w:r>
      <w:r w:rsidRPr="00E91086">
        <w:rPr>
          <w:lang w:eastAsia="en-US"/>
        </w:rPr>
        <w:t>the</w:t>
      </w:r>
      <w:r w:rsidRPr="00E91086">
        <w:rPr>
          <w:spacing w:val="-3"/>
          <w:lang w:eastAsia="en-US"/>
        </w:rPr>
        <w:t xml:space="preserve"> </w:t>
      </w:r>
      <w:r w:rsidRPr="00E91086">
        <w:rPr>
          <w:lang w:eastAsia="en-US"/>
        </w:rPr>
        <w:t>Tender</w:t>
      </w:r>
      <w:r w:rsidRPr="00E91086">
        <w:rPr>
          <w:spacing w:val="-4"/>
          <w:lang w:eastAsia="en-US"/>
        </w:rPr>
        <w:t xml:space="preserve"> </w:t>
      </w:r>
      <w:r w:rsidRPr="00E91086">
        <w:rPr>
          <w:lang w:eastAsia="en-US"/>
        </w:rPr>
        <w:t>Offer</w:t>
      </w:r>
      <w:r w:rsidRPr="00E91086">
        <w:rPr>
          <w:spacing w:val="-3"/>
          <w:lang w:eastAsia="en-US"/>
        </w:rPr>
        <w:t xml:space="preserve"> </w:t>
      </w:r>
      <w:r w:rsidRPr="00E91086">
        <w:rPr>
          <w:lang w:eastAsia="en-US"/>
        </w:rPr>
        <w:t>will</w:t>
      </w:r>
      <w:r w:rsidRPr="00E91086">
        <w:rPr>
          <w:spacing w:val="-4"/>
          <w:lang w:eastAsia="en-US"/>
        </w:rPr>
        <w:t xml:space="preserve"> </w:t>
      </w:r>
      <w:r w:rsidRPr="00E91086">
        <w:rPr>
          <w:lang w:eastAsia="en-US"/>
        </w:rPr>
        <w:t>not</w:t>
      </w:r>
      <w:r w:rsidRPr="00E91086">
        <w:rPr>
          <w:spacing w:val="-4"/>
          <w:lang w:eastAsia="en-US"/>
        </w:rPr>
        <w:t xml:space="preserve"> </w:t>
      </w:r>
      <w:r w:rsidRPr="00E91086">
        <w:rPr>
          <w:lang w:eastAsia="en-US"/>
        </w:rPr>
        <w:t xml:space="preserve">be extended, and neither this </w:t>
      </w:r>
      <w:r w:rsidR="00670772" w:rsidRPr="00E91086">
        <w:rPr>
          <w:lang w:eastAsia="en-US"/>
        </w:rPr>
        <w:t xml:space="preserve">announcement, the </w:t>
      </w:r>
      <w:r w:rsidR="00497C1D" w:rsidRPr="00E91086">
        <w:rPr>
          <w:lang w:eastAsia="en-US"/>
        </w:rPr>
        <w:t>Offer to Purchase</w:t>
      </w:r>
      <w:r w:rsidR="00670772" w:rsidRPr="00E91086">
        <w:rPr>
          <w:lang w:eastAsia="en-US"/>
        </w:rPr>
        <w:t xml:space="preserve"> and any other documents or materials relating to the Tender Offer </w:t>
      </w:r>
      <w:r w:rsidRPr="00E91086">
        <w:rPr>
          <w:lang w:eastAsia="en-US"/>
        </w:rPr>
        <w:t>ha</w:t>
      </w:r>
      <w:r w:rsidR="00670772" w:rsidRPr="00E91086">
        <w:rPr>
          <w:lang w:eastAsia="en-US"/>
        </w:rPr>
        <w:t>ve</w:t>
      </w:r>
      <w:r w:rsidRPr="00E91086">
        <w:rPr>
          <w:lang w:eastAsia="en-US"/>
        </w:rPr>
        <w:t xml:space="preserve"> been or shall be distributed or made available,</w:t>
      </w:r>
      <w:r w:rsidRPr="00E91086">
        <w:rPr>
          <w:spacing w:val="-6"/>
          <w:lang w:eastAsia="en-US"/>
        </w:rPr>
        <w:t xml:space="preserve"> </w:t>
      </w:r>
      <w:r w:rsidRPr="00E91086">
        <w:rPr>
          <w:lang w:eastAsia="en-US"/>
        </w:rPr>
        <w:t>directly</w:t>
      </w:r>
      <w:r w:rsidRPr="00E91086">
        <w:rPr>
          <w:spacing w:val="-5"/>
          <w:lang w:eastAsia="en-US"/>
        </w:rPr>
        <w:t xml:space="preserve"> </w:t>
      </w:r>
      <w:r w:rsidRPr="00E91086">
        <w:rPr>
          <w:lang w:eastAsia="en-US"/>
        </w:rPr>
        <w:t>or</w:t>
      </w:r>
      <w:r w:rsidRPr="00E91086">
        <w:rPr>
          <w:spacing w:val="-6"/>
          <w:lang w:eastAsia="en-US"/>
        </w:rPr>
        <w:t xml:space="preserve"> </w:t>
      </w:r>
      <w:r w:rsidRPr="00E91086">
        <w:rPr>
          <w:lang w:eastAsia="en-US"/>
        </w:rPr>
        <w:t>indirectly,</w:t>
      </w:r>
      <w:r w:rsidRPr="00E91086">
        <w:rPr>
          <w:spacing w:val="-5"/>
          <w:lang w:eastAsia="en-US"/>
        </w:rPr>
        <w:t xml:space="preserve"> </w:t>
      </w:r>
      <w:r w:rsidRPr="00E91086">
        <w:rPr>
          <w:lang w:eastAsia="en-US"/>
        </w:rPr>
        <w:t>to</w:t>
      </w:r>
      <w:r w:rsidRPr="00E91086">
        <w:rPr>
          <w:spacing w:val="-5"/>
          <w:lang w:eastAsia="en-US"/>
        </w:rPr>
        <w:t xml:space="preserve"> </w:t>
      </w:r>
      <w:r w:rsidRPr="00E91086">
        <w:rPr>
          <w:lang w:eastAsia="en-US"/>
        </w:rPr>
        <w:t>any</w:t>
      </w:r>
      <w:r w:rsidRPr="00E91086">
        <w:rPr>
          <w:spacing w:val="-6"/>
          <w:lang w:eastAsia="en-US"/>
        </w:rPr>
        <w:t xml:space="preserve"> </w:t>
      </w:r>
      <w:r w:rsidRPr="00E91086">
        <w:rPr>
          <w:lang w:eastAsia="en-US"/>
        </w:rPr>
        <w:t>person</w:t>
      </w:r>
      <w:r w:rsidRPr="00E91086">
        <w:rPr>
          <w:spacing w:val="-5"/>
          <w:lang w:eastAsia="en-US"/>
        </w:rPr>
        <w:t xml:space="preserve"> </w:t>
      </w:r>
      <w:r w:rsidRPr="00E91086">
        <w:rPr>
          <w:lang w:eastAsia="en-US"/>
        </w:rPr>
        <w:t>in</w:t>
      </w:r>
      <w:r w:rsidRPr="00E91086">
        <w:rPr>
          <w:spacing w:val="-5"/>
          <w:lang w:eastAsia="en-US"/>
        </w:rPr>
        <w:t xml:space="preserve"> </w:t>
      </w:r>
      <w:r w:rsidRPr="00E91086">
        <w:rPr>
          <w:lang w:eastAsia="en-US"/>
        </w:rPr>
        <w:t>Belgium</w:t>
      </w:r>
      <w:r w:rsidRPr="00E91086">
        <w:rPr>
          <w:spacing w:val="-7"/>
          <w:lang w:eastAsia="en-US"/>
        </w:rPr>
        <w:t xml:space="preserve"> </w:t>
      </w:r>
      <w:r w:rsidRPr="00E91086">
        <w:rPr>
          <w:lang w:eastAsia="en-US"/>
        </w:rPr>
        <w:t>other</w:t>
      </w:r>
      <w:r w:rsidRPr="00E91086">
        <w:rPr>
          <w:spacing w:val="-5"/>
          <w:lang w:eastAsia="en-US"/>
        </w:rPr>
        <w:t xml:space="preserve"> </w:t>
      </w:r>
      <w:r w:rsidRPr="00E91086">
        <w:rPr>
          <w:lang w:eastAsia="en-US"/>
        </w:rPr>
        <w:t>than</w:t>
      </w:r>
      <w:r w:rsidRPr="00E91086">
        <w:rPr>
          <w:spacing w:val="-5"/>
          <w:lang w:eastAsia="en-US"/>
        </w:rPr>
        <w:t xml:space="preserve"> </w:t>
      </w:r>
      <w:r w:rsidRPr="00E91086">
        <w:rPr>
          <w:lang w:eastAsia="en-US"/>
        </w:rPr>
        <w:t>“qualified</w:t>
      </w:r>
      <w:r w:rsidRPr="00E91086">
        <w:rPr>
          <w:spacing w:val="-5"/>
          <w:lang w:eastAsia="en-US"/>
        </w:rPr>
        <w:t xml:space="preserve"> </w:t>
      </w:r>
      <w:r w:rsidRPr="00E91086">
        <w:rPr>
          <w:lang w:eastAsia="en-US"/>
        </w:rPr>
        <w:t>investors”</w:t>
      </w:r>
      <w:r w:rsidRPr="00E91086">
        <w:rPr>
          <w:spacing w:val="-7"/>
          <w:lang w:eastAsia="en-US"/>
        </w:rPr>
        <w:t xml:space="preserve"> </w:t>
      </w:r>
      <w:r w:rsidRPr="00E91086">
        <w:rPr>
          <w:lang w:eastAsia="en-US"/>
        </w:rPr>
        <w:t>in</w:t>
      </w:r>
      <w:r w:rsidRPr="00E91086">
        <w:rPr>
          <w:spacing w:val="-5"/>
          <w:lang w:eastAsia="en-US"/>
        </w:rPr>
        <w:t xml:space="preserve"> </w:t>
      </w:r>
      <w:r w:rsidRPr="00E91086">
        <w:rPr>
          <w:lang w:eastAsia="en-US"/>
        </w:rPr>
        <w:t>the</w:t>
      </w:r>
      <w:r w:rsidRPr="00E91086">
        <w:rPr>
          <w:spacing w:val="-6"/>
          <w:lang w:eastAsia="en-US"/>
        </w:rPr>
        <w:t xml:space="preserve"> </w:t>
      </w:r>
      <w:r w:rsidRPr="00E91086">
        <w:rPr>
          <w:lang w:eastAsia="en-US"/>
        </w:rPr>
        <w:t>sense</w:t>
      </w:r>
      <w:r w:rsidRPr="00E91086">
        <w:rPr>
          <w:spacing w:val="-7"/>
          <w:lang w:eastAsia="en-US"/>
        </w:rPr>
        <w:t xml:space="preserve"> </w:t>
      </w:r>
      <w:r w:rsidRPr="00E91086">
        <w:rPr>
          <w:lang w:eastAsia="en-US"/>
        </w:rPr>
        <w:t>of</w:t>
      </w:r>
      <w:r w:rsidRPr="00E91086">
        <w:rPr>
          <w:spacing w:val="-6"/>
          <w:lang w:eastAsia="en-US"/>
        </w:rPr>
        <w:t xml:space="preserve"> </w:t>
      </w:r>
      <w:r w:rsidRPr="00E91086">
        <w:rPr>
          <w:lang w:eastAsia="en-US"/>
        </w:rPr>
        <w:t>Article</w:t>
      </w:r>
      <w:r w:rsidRPr="00E91086">
        <w:rPr>
          <w:spacing w:val="-6"/>
          <w:lang w:eastAsia="en-US"/>
        </w:rPr>
        <w:t xml:space="preserve"> </w:t>
      </w:r>
      <w:r w:rsidRPr="00E91086">
        <w:rPr>
          <w:lang w:eastAsia="en-US"/>
        </w:rPr>
        <w:t>10</w:t>
      </w:r>
      <w:r w:rsidRPr="00E91086">
        <w:rPr>
          <w:spacing w:val="-6"/>
          <w:lang w:eastAsia="en-US"/>
        </w:rPr>
        <w:t xml:space="preserve"> </w:t>
      </w:r>
      <w:r w:rsidRPr="00E91086">
        <w:rPr>
          <w:lang w:eastAsia="en-US"/>
        </w:rPr>
        <w:t>of the Belgian Law of June 16, 2006 on the public offer of placement instruments and the admission to trading of placement</w:t>
      </w:r>
      <w:r w:rsidRPr="00E91086">
        <w:rPr>
          <w:spacing w:val="-8"/>
          <w:lang w:eastAsia="en-US"/>
        </w:rPr>
        <w:t xml:space="preserve"> </w:t>
      </w:r>
      <w:r w:rsidRPr="00E91086">
        <w:rPr>
          <w:lang w:eastAsia="en-US"/>
        </w:rPr>
        <w:t>instruments</w:t>
      </w:r>
      <w:r w:rsidRPr="00E91086">
        <w:rPr>
          <w:spacing w:val="-9"/>
          <w:lang w:eastAsia="en-US"/>
        </w:rPr>
        <w:t xml:space="preserve"> </w:t>
      </w:r>
      <w:r w:rsidRPr="00E91086">
        <w:rPr>
          <w:lang w:eastAsia="en-US"/>
        </w:rPr>
        <w:t>on</w:t>
      </w:r>
      <w:r w:rsidRPr="00E91086">
        <w:rPr>
          <w:spacing w:val="-9"/>
          <w:lang w:eastAsia="en-US"/>
        </w:rPr>
        <w:t xml:space="preserve"> </w:t>
      </w:r>
      <w:r w:rsidRPr="00E91086">
        <w:rPr>
          <w:lang w:eastAsia="en-US"/>
        </w:rPr>
        <w:t>regulated</w:t>
      </w:r>
      <w:r w:rsidRPr="00E91086">
        <w:rPr>
          <w:spacing w:val="-8"/>
          <w:lang w:eastAsia="en-US"/>
        </w:rPr>
        <w:t xml:space="preserve"> </w:t>
      </w:r>
      <w:r w:rsidRPr="00E91086">
        <w:rPr>
          <w:lang w:eastAsia="en-US"/>
        </w:rPr>
        <w:t>markets,</w:t>
      </w:r>
      <w:r w:rsidRPr="00E91086">
        <w:rPr>
          <w:spacing w:val="-9"/>
          <w:lang w:eastAsia="en-US"/>
        </w:rPr>
        <w:t xml:space="preserve"> </w:t>
      </w:r>
      <w:r w:rsidRPr="00E91086">
        <w:rPr>
          <w:lang w:eastAsia="en-US"/>
        </w:rPr>
        <w:t>acting</w:t>
      </w:r>
      <w:r w:rsidRPr="00E91086">
        <w:rPr>
          <w:spacing w:val="-8"/>
          <w:lang w:eastAsia="en-US"/>
        </w:rPr>
        <w:t xml:space="preserve"> </w:t>
      </w:r>
      <w:r w:rsidRPr="00E91086">
        <w:rPr>
          <w:lang w:eastAsia="en-US"/>
        </w:rPr>
        <w:t>on</w:t>
      </w:r>
      <w:r w:rsidRPr="00E91086">
        <w:rPr>
          <w:spacing w:val="-9"/>
          <w:lang w:eastAsia="en-US"/>
        </w:rPr>
        <w:t xml:space="preserve"> </w:t>
      </w:r>
      <w:r w:rsidRPr="00E91086">
        <w:rPr>
          <w:lang w:eastAsia="en-US"/>
        </w:rPr>
        <w:t>their</w:t>
      </w:r>
      <w:r w:rsidRPr="00E91086">
        <w:rPr>
          <w:spacing w:val="-10"/>
          <w:lang w:eastAsia="en-US"/>
        </w:rPr>
        <w:t xml:space="preserve"> </w:t>
      </w:r>
      <w:r w:rsidRPr="00E91086">
        <w:rPr>
          <w:lang w:eastAsia="en-US"/>
        </w:rPr>
        <w:t>own</w:t>
      </w:r>
      <w:r w:rsidRPr="00E91086">
        <w:rPr>
          <w:spacing w:val="-8"/>
          <w:lang w:eastAsia="en-US"/>
        </w:rPr>
        <w:t xml:space="preserve"> </w:t>
      </w:r>
      <w:r w:rsidRPr="00E91086">
        <w:rPr>
          <w:lang w:eastAsia="en-US"/>
        </w:rPr>
        <w:t>account.</w:t>
      </w:r>
      <w:r w:rsidRPr="00E91086">
        <w:rPr>
          <w:spacing w:val="-9"/>
          <w:lang w:eastAsia="en-US"/>
        </w:rPr>
        <w:t xml:space="preserve"> </w:t>
      </w:r>
      <w:r w:rsidRPr="00E91086">
        <w:rPr>
          <w:lang w:eastAsia="en-US"/>
        </w:rPr>
        <w:t>This</w:t>
      </w:r>
      <w:r w:rsidRPr="00E91086">
        <w:rPr>
          <w:spacing w:val="-9"/>
          <w:lang w:eastAsia="en-US"/>
        </w:rPr>
        <w:t xml:space="preserve"> </w:t>
      </w:r>
      <w:r w:rsidR="00670772" w:rsidRPr="00E91086">
        <w:rPr>
          <w:spacing w:val="-9"/>
          <w:lang w:eastAsia="en-US"/>
        </w:rPr>
        <w:t xml:space="preserve">announcement and the </w:t>
      </w:r>
      <w:r w:rsidR="00497C1D" w:rsidRPr="00E91086">
        <w:rPr>
          <w:lang w:eastAsia="en-US"/>
        </w:rPr>
        <w:t>Offer to Purchase</w:t>
      </w:r>
      <w:r w:rsidRPr="00E91086">
        <w:rPr>
          <w:spacing w:val="-10"/>
          <w:lang w:eastAsia="en-US"/>
        </w:rPr>
        <w:t xml:space="preserve"> </w:t>
      </w:r>
      <w:r w:rsidRPr="00E91086">
        <w:rPr>
          <w:lang w:eastAsia="en-US"/>
        </w:rPr>
        <w:t>has</w:t>
      </w:r>
      <w:r w:rsidRPr="00E91086">
        <w:rPr>
          <w:spacing w:val="-9"/>
          <w:lang w:eastAsia="en-US"/>
        </w:rPr>
        <w:t xml:space="preserve"> </w:t>
      </w:r>
      <w:r w:rsidRPr="00E91086">
        <w:rPr>
          <w:lang w:eastAsia="en-US"/>
        </w:rPr>
        <w:t>been</w:t>
      </w:r>
      <w:r w:rsidRPr="00E91086">
        <w:rPr>
          <w:spacing w:val="-8"/>
          <w:lang w:eastAsia="en-US"/>
        </w:rPr>
        <w:t xml:space="preserve"> </w:t>
      </w:r>
      <w:r w:rsidRPr="00E91086">
        <w:rPr>
          <w:lang w:eastAsia="en-US"/>
        </w:rPr>
        <w:t>issued</w:t>
      </w:r>
      <w:r w:rsidRPr="00E91086">
        <w:rPr>
          <w:spacing w:val="-8"/>
          <w:lang w:eastAsia="en-US"/>
        </w:rPr>
        <w:t xml:space="preserve"> </w:t>
      </w:r>
      <w:r w:rsidRPr="00E91086">
        <w:rPr>
          <w:lang w:eastAsia="en-US"/>
        </w:rPr>
        <w:t>only for</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personal</w:t>
      </w:r>
      <w:r w:rsidRPr="00E91086">
        <w:rPr>
          <w:spacing w:val="-8"/>
          <w:lang w:eastAsia="en-US"/>
        </w:rPr>
        <w:t xml:space="preserve"> </w:t>
      </w:r>
      <w:r w:rsidRPr="00E91086">
        <w:rPr>
          <w:lang w:eastAsia="en-US"/>
        </w:rPr>
        <w:t>use</w:t>
      </w:r>
      <w:r w:rsidRPr="00E91086">
        <w:rPr>
          <w:spacing w:val="-8"/>
          <w:lang w:eastAsia="en-US"/>
        </w:rPr>
        <w:t xml:space="preserve"> </w:t>
      </w:r>
      <w:r w:rsidRPr="00E91086">
        <w:rPr>
          <w:lang w:eastAsia="en-US"/>
        </w:rPr>
        <w:t>of</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above</w:t>
      </w:r>
      <w:r w:rsidRPr="00E91086">
        <w:rPr>
          <w:spacing w:val="-8"/>
          <w:lang w:eastAsia="en-US"/>
        </w:rPr>
        <w:t xml:space="preserve"> </w:t>
      </w:r>
      <w:r w:rsidRPr="00E91086">
        <w:rPr>
          <w:lang w:eastAsia="en-US"/>
        </w:rPr>
        <w:t>qualified</w:t>
      </w:r>
      <w:r w:rsidRPr="00E91086">
        <w:rPr>
          <w:spacing w:val="-8"/>
          <w:lang w:eastAsia="en-US"/>
        </w:rPr>
        <w:t xml:space="preserve"> </w:t>
      </w:r>
      <w:r w:rsidRPr="00E91086">
        <w:rPr>
          <w:lang w:eastAsia="en-US"/>
        </w:rPr>
        <w:t>investors</w:t>
      </w:r>
      <w:r w:rsidRPr="00E91086">
        <w:rPr>
          <w:spacing w:val="-8"/>
          <w:lang w:eastAsia="en-US"/>
        </w:rPr>
        <w:t xml:space="preserve"> </w:t>
      </w:r>
      <w:r w:rsidRPr="00E91086">
        <w:rPr>
          <w:lang w:eastAsia="en-US"/>
        </w:rPr>
        <w:t>and</w:t>
      </w:r>
      <w:r w:rsidRPr="00E91086">
        <w:rPr>
          <w:spacing w:val="-8"/>
          <w:lang w:eastAsia="en-US"/>
        </w:rPr>
        <w:t xml:space="preserve"> </w:t>
      </w:r>
      <w:r w:rsidRPr="00E91086">
        <w:rPr>
          <w:lang w:eastAsia="en-US"/>
        </w:rPr>
        <w:t>exclusively</w:t>
      </w:r>
      <w:r w:rsidRPr="00E91086">
        <w:rPr>
          <w:spacing w:val="-8"/>
          <w:lang w:eastAsia="en-US"/>
        </w:rPr>
        <w:t xml:space="preserve"> </w:t>
      </w:r>
      <w:r w:rsidRPr="00E91086">
        <w:rPr>
          <w:lang w:eastAsia="en-US"/>
        </w:rPr>
        <w:t>for</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purpose</w:t>
      </w:r>
      <w:r w:rsidRPr="00E91086">
        <w:rPr>
          <w:spacing w:val="-9"/>
          <w:lang w:eastAsia="en-US"/>
        </w:rPr>
        <w:t xml:space="preserve"> </w:t>
      </w:r>
      <w:r w:rsidRPr="00E91086">
        <w:rPr>
          <w:lang w:eastAsia="en-US"/>
        </w:rPr>
        <w:t>of</w:t>
      </w:r>
      <w:r w:rsidRPr="00E91086">
        <w:rPr>
          <w:spacing w:val="-7"/>
          <w:lang w:eastAsia="en-US"/>
        </w:rPr>
        <w:t xml:space="preserve"> </w:t>
      </w:r>
      <w:r w:rsidRPr="00E91086">
        <w:rPr>
          <w:lang w:eastAsia="en-US"/>
        </w:rPr>
        <w:t>the</w:t>
      </w:r>
      <w:r w:rsidRPr="00E91086">
        <w:rPr>
          <w:spacing w:val="-9"/>
          <w:lang w:eastAsia="en-US"/>
        </w:rPr>
        <w:t xml:space="preserve"> </w:t>
      </w:r>
      <w:r w:rsidRPr="00E91086">
        <w:rPr>
          <w:lang w:eastAsia="en-US"/>
        </w:rPr>
        <w:t>Tender</w:t>
      </w:r>
      <w:r w:rsidRPr="00E91086">
        <w:rPr>
          <w:spacing w:val="-9"/>
          <w:lang w:eastAsia="en-US"/>
        </w:rPr>
        <w:t xml:space="preserve"> </w:t>
      </w:r>
      <w:r w:rsidRPr="00E91086">
        <w:rPr>
          <w:lang w:eastAsia="en-US"/>
        </w:rPr>
        <w:t>Offer.</w:t>
      </w:r>
      <w:r w:rsidRPr="00E91086">
        <w:rPr>
          <w:spacing w:val="-9"/>
          <w:lang w:eastAsia="en-US"/>
        </w:rPr>
        <w:t xml:space="preserve"> </w:t>
      </w:r>
      <w:r w:rsidRPr="00E91086">
        <w:rPr>
          <w:lang w:eastAsia="en-US"/>
        </w:rPr>
        <w:t>Accordingly, the information contained in this</w:t>
      </w:r>
      <w:r w:rsidR="00670772" w:rsidRPr="00E91086">
        <w:rPr>
          <w:lang w:eastAsia="en-US"/>
        </w:rPr>
        <w:t xml:space="preserve"> announcement and the</w:t>
      </w:r>
      <w:r w:rsidRPr="00E91086">
        <w:rPr>
          <w:lang w:eastAsia="en-US"/>
        </w:rPr>
        <w:t xml:space="preserve"> </w:t>
      </w:r>
      <w:r w:rsidR="00497C1D" w:rsidRPr="00E91086">
        <w:rPr>
          <w:lang w:eastAsia="en-US"/>
        </w:rPr>
        <w:t>Offer to Purchase</w:t>
      </w:r>
      <w:r w:rsidRPr="00E91086">
        <w:rPr>
          <w:lang w:eastAsia="en-US"/>
        </w:rPr>
        <w:t xml:space="preserve"> may not be used for any other purpose or disclosed to any other person in Belgium.</w:t>
      </w:r>
      <w:bookmarkEnd w:id="0"/>
    </w:p>
    <w:sectPr w:rsidR="00F03965" w:rsidRPr="009C6B1B" w:rsidSect="00665AC4">
      <w:headerReference w:type="even" r:id="rId18"/>
      <w:headerReference w:type="default" r:id="rId19"/>
      <w:footerReference w:type="even" r:id="rId20"/>
      <w:footerReference w:type="default" r:id="rId21"/>
      <w:headerReference w:type="first" r:id="rId22"/>
      <w:footerReference w:type="first" r:id="rId23"/>
      <w:pgSz w:w="11907" w:h="16839"/>
      <w:pgMar w:top="1440" w:right="1440" w:bottom="1440" w:left="1440" w:header="8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D0E8" w14:textId="77777777" w:rsidR="006B6C99" w:rsidRDefault="006B6C99">
      <w:r>
        <w:separator/>
      </w:r>
    </w:p>
  </w:endnote>
  <w:endnote w:type="continuationSeparator" w:id="0">
    <w:p w14:paraId="0D98A645" w14:textId="77777777" w:rsidR="006B6C99" w:rsidRDefault="006B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5000" w14:textId="77777777" w:rsidR="00AA61FF" w:rsidRDefault="00237A4A" w:rsidP="009F6D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510D48F" w14:textId="77777777" w:rsidR="00AA61FF" w:rsidRDefault="00AA61FF" w:rsidP="009F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81782997"/>
      <w:docPartObj>
        <w:docPartGallery w:val="Page Numbers (Bottom of Page)"/>
        <w:docPartUnique/>
      </w:docPartObj>
    </w:sdtPr>
    <w:sdtEndPr>
      <w:rPr>
        <w:rFonts w:ascii="Times New Roman" w:hAnsi="Times New Roman"/>
        <w:noProof/>
        <w:sz w:val="22"/>
      </w:rPr>
    </w:sdtEndPr>
    <w:sdtContent>
      <w:p w14:paraId="710B68BB" w14:textId="77777777" w:rsidR="00AA61FF" w:rsidRPr="008D648C" w:rsidRDefault="00237A4A">
        <w:pPr>
          <w:pStyle w:val="Footer"/>
          <w:jc w:val="center"/>
          <w:rPr>
            <w:rFonts w:ascii="Times New Roman" w:hAnsi="Times New Roman"/>
            <w:sz w:val="22"/>
          </w:rPr>
        </w:pPr>
        <w:r w:rsidRPr="008D648C">
          <w:rPr>
            <w:rFonts w:ascii="Times New Roman" w:hAnsi="Times New Roman"/>
            <w:noProof w:val="0"/>
            <w:sz w:val="22"/>
          </w:rPr>
          <w:fldChar w:fldCharType="begin"/>
        </w:r>
        <w:r w:rsidRPr="008D648C">
          <w:rPr>
            <w:rFonts w:ascii="Times New Roman" w:hAnsi="Times New Roman"/>
            <w:sz w:val="22"/>
          </w:rPr>
          <w:instrText xml:space="preserve"> PAGE   \* MERGEFORMAT </w:instrText>
        </w:r>
        <w:r w:rsidRPr="008D648C">
          <w:rPr>
            <w:rFonts w:ascii="Times New Roman" w:hAnsi="Times New Roman"/>
            <w:noProof w:val="0"/>
            <w:sz w:val="22"/>
          </w:rPr>
          <w:fldChar w:fldCharType="separate"/>
        </w:r>
        <w:r w:rsidR="00C32558">
          <w:rPr>
            <w:rFonts w:ascii="Times New Roman" w:hAnsi="Times New Roman"/>
            <w:sz w:val="22"/>
          </w:rPr>
          <w:t>1</w:t>
        </w:r>
        <w:r w:rsidRPr="008D648C">
          <w:rPr>
            <w:rFonts w:ascii="Times New Roman" w:hAnsi="Times New Roman"/>
            <w:sz w:val="22"/>
          </w:rPr>
          <w:fldChar w:fldCharType="end"/>
        </w:r>
      </w:p>
    </w:sdtContent>
  </w:sdt>
  <w:p w14:paraId="5DBDCB37" w14:textId="77777777" w:rsidR="00AA61FF" w:rsidRDefault="00AA6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5411" w14:textId="77777777" w:rsidR="000F0E67" w:rsidRDefault="000F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E2F5" w14:textId="77777777" w:rsidR="006B6C99" w:rsidRDefault="006B6C99">
      <w:r>
        <w:separator/>
      </w:r>
    </w:p>
  </w:footnote>
  <w:footnote w:type="continuationSeparator" w:id="0">
    <w:p w14:paraId="24B86778" w14:textId="77777777" w:rsidR="006B6C99" w:rsidRDefault="006B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C806" w14:textId="77777777" w:rsidR="000F0E67" w:rsidRDefault="000F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18C7" w14:textId="77777777" w:rsidR="00AA61FF" w:rsidRPr="00CC0D42" w:rsidRDefault="00AA61FF" w:rsidP="00BB1677">
    <w:pPr>
      <w:pStyle w:val="Header"/>
      <w:jc w:val="right"/>
      <w:rPr>
        <w:rFonts w:ascii="Arial" w:hAnsi="Arial" w:cs="Arial"/>
        <w:b/>
        <w:color w:val="5F5F5F" w:themeColor="text1"/>
        <w:sz w:val="16"/>
        <w:szCs w:val="16"/>
      </w:rPr>
    </w:pPr>
  </w:p>
  <w:p w14:paraId="6541718B" w14:textId="77777777" w:rsidR="00AA61FF" w:rsidRDefault="00AA6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65CA" w14:textId="77777777" w:rsidR="000F0E67" w:rsidRDefault="000F0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6E78C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F6720C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C62744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AFEE49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F74F1A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918EE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2572C8"/>
    <w:multiLevelType w:val="hybridMultilevel"/>
    <w:tmpl w:val="508EA9B4"/>
    <w:lvl w:ilvl="0" w:tplc="A64C219C">
      <w:start w:val="1"/>
      <w:numFmt w:val="bullet"/>
      <w:lvlText w:val=""/>
      <w:lvlJc w:val="left"/>
      <w:pPr>
        <w:ind w:left="778" w:hanging="360"/>
      </w:pPr>
      <w:rPr>
        <w:rFonts w:ascii="Symbol" w:hAnsi="Symbol" w:hint="default"/>
      </w:rPr>
    </w:lvl>
    <w:lvl w:ilvl="1" w:tplc="B88A03EC" w:tentative="1">
      <w:start w:val="1"/>
      <w:numFmt w:val="bullet"/>
      <w:lvlText w:val="o"/>
      <w:lvlJc w:val="left"/>
      <w:pPr>
        <w:ind w:left="1498" w:hanging="360"/>
      </w:pPr>
      <w:rPr>
        <w:rFonts w:ascii="Courier New" w:hAnsi="Courier New" w:cs="Courier New" w:hint="default"/>
      </w:rPr>
    </w:lvl>
    <w:lvl w:ilvl="2" w:tplc="D83034A8" w:tentative="1">
      <w:start w:val="1"/>
      <w:numFmt w:val="bullet"/>
      <w:lvlText w:val=""/>
      <w:lvlJc w:val="left"/>
      <w:pPr>
        <w:ind w:left="2218" w:hanging="360"/>
      </w:pPr>
      <w:rPr>
        <w:rFonts w:ascii="Wingdings" w:hAnsi="Wingdings" w:hint="default"/>
      </w:rPr>
    </w:lvl>
    <w:lvl w:ilvl="3" w:tplc="A0E8645A" w:tentative="1">
      <w:start w:val="1"/>
      <w:numFmt w:val="bullet"/>
      <w:lvlText w:val=""/>
      <w:lvlJc w:val="left"/>
      <w:pPr>
        <w:ind w:left="2938" w:hanging="360"/>
      </w:pPr>
      <w:rPr>
        <w:rFonts w:ascii="Symbol" w:hAnsi="Symbol" w:hint="default"/>
      </w:rPr>
    </w:lvl>
    <w:lvl w:ilvl="4" w:tplc="43265E18" w:tentative="1">
      <w:start w:val="1"/>
      <w:numFmt w:val="bullet"/>
      <w:lvlText w:val="o"/>
      <w:lvlJc w:val="left"/>
      <w:pPr>
        <w:ind w:left="3658" w:hanging="360"/>
      </w:pPr>
      <w:rPr>
        <w:rFonts w:ascii="Courier New" w:hAnsi="Courier New" w:cs="Courier New" w:hint="default"/>
      </w:rPr>
    </w:lvl>
    <w:lvl w:ilvl="5" w:tplc="22A6BFB2" w:tentative="1">
      <w:start w:val="1"/>
      <w:numFmt w:val="bullet"/>
      <w:lvlText w:val=""/>
      <w:lvlJc w:val="left"/>
      <w:pPr>
        <w:ind w:left="4378" w:hanging="360"/>
      </w:pPr>
      <w:rPr>
        <w:rFonts w:ascii="Wingdings" w:hAnsi="Wingdings" w:hint="default"/>
      </w:rPr>
    </w:lvl>
    <w:lvl w:ilvl="6" w:tplc="8A1609B2" w:tentative="1">
      <w:start w:val="1"/>
      <w:numFmt w:val="bullet"/>
      <w:lvlText w:val=""/>
      <w:lvlJc w:val="left"/>
      <w:pPr>
        <w:ind w:left="5098" w:hanging="360"/>
      </w:pPr>
      <w:rPr>
        <w:rFonts w:ascii="Symbol" w:hAnsi="Symbol" w:hint="default"/>
      </w:rPr>
    </w:lvl>
    <w:lvl w:ilvl="7" w:tplc="7456AC4A" w:tentative="1">
      <w:start w:val="1"/>
      <w:numFmt w:val="bullet"/>
      <w:lvlText w:val="o"/>
      <w:lvlJc w:val="left"/>
      <w:pPr>
        <w:ind w:left="5818" w:hanging="360"/>
      </w:pPr>
      <w:rPr>
        <w:rFonts w:ascii="Courier New" w:hAnsi="Courier New" w:cs="Courier New" w:hint="default"/>
      </w:rPr>
    </w:lvl>
    <w:lvl w:ilvl="8" w:tplc="0D08297E" w:tentative="1">
      <w:start w:val="1"/>
      <w:numFmt w:val="bullet"/>
      <w:lvlText w:val=""/>
      <w:lvlJc w:val="left"/>
      <w:pPr>
        <w:ind w:left="6538" w:hanging="360"/>
      </w:pPr>
      <w:rPr>
        <w:rFonts w:ascii="Wingdings" w:hAnsi="Wingdings" w:hint="default"/>
      </w:rPr>
    </w:lvl>
  </w:abstractNum>
  <w:abstractNum w:abstractNumId="8" w15:restartNumberingAfterBreak="0">
    <w:nsid w:val="096C1985"/>
    <w:multiLevelType w:val="multilevel"/>
    <w:tmpl w:val="D70EC03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099F52AB"/>
    <w:multiLevelType w:val="multilevel"/>
    <w:tmpl w:val="D70EC034"/>
    <w:numStyleLink w:val="BMSchedules"/>
  </w:abstractNum>
  <w:abstractNum w:abstractNumId="10"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DC71D4"/>
    <w:multiLevelType w:val="hybridMultilevel"/>
    <w:tmpl w:val="BBEE247C"/>
    <w:lvl w:ilvl="0" w:tplc="02409128">
      <w:start w:val="1"/>
      <w:numFmt w:val="lowerRoman"/>
      <w:lvlText w:val="(%1)"/>
      <w:lvlJc w:val="left"/>
      <w:pPr>
        <w:ind w:left="706" w:hanging="70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E28D7"/>
    <w:multiLevelType w:val="hybridMultilevel"/>
    <w:tmpl w:val="F3B6362C"/>
    <w:lvl w:ilvl="0" w:tplc="8B223096">
      <w:start w:val="1"/>
      <w:numFmt w:val="upperLetter"/>
      <w:pStyle w:val="Recital"/>
      <w:lvlText w:val="%1"/>
      <w:lvlJc w:val="left"/>
      <w:pPr>
        <w:tabs>
          <w:tab w:val="num" w:pos="709"/>
        </w:tabs>
        <w:ind w:left="709" w:hanging="709"/>
      </w:pPr>
      <w:rPr>
        <w:rFonts w:hint="default"/>
      </w:rPr>
    </w:lvl>
    <w:lvl w:ilvl="1" w:tplc="7312DDE2" w:tentative="1">
      <w:start w:val="1"/>
      <w:numFmt w:val="lowerLetter"/>
      <w:lvlText w:val="%2."/>
      <w:lvlJc w:val="left"/>
      <w:pPr>
        <w:tabs>
          <w:tab w:val="num" w:pos="1440"/>
        </w:tabs>
        <w:ind w:left="1440" w:hanging="360"/>
      </w:pPr>
    </w:lvl>
    <w:lvl w:ilvl="2" w:tplc="EC46BA90" w:tentative="1">
      <w:start w:val="1"/>
      <w:numFmt w:val="lowerRoman"/>
      <w:lvlText w:val="%3."/>
      <w:lvlJc w:val="right"/>
      <w:pPr>
        <w:tabs>
          <w:tab w:val="num" w:pos="2160"/>
        </w:tabs>
        <w:ind w:left="2160" w:hanging="180"/>
      </w:pPr>
    </w:lvl>
    <w:lvl w:ilvl="3" w:tplc="B4747CA0" w:tentative="1">
      <w:start w:val="1"/>
      <w:numFmt w:val="decimal"/>
      <w:lvlText w:val="%4."/>
      <w:lvlJc w:val="left"/>
      <w:pPr>
        <w:tabs>
          <w:tab w:val="num" w:pos="2880"/>
        </w:tabs>
        <w:ind w:left="2880" w:hanging="360"/>
      </w:pPr>
    </w:lvl>
    <w:lvl w:ilvl="4" w:tplc="AE080A28" w:tentative="1">
      <w:start w:val="1"/>
      <w:numFmt w:val="lowerLetter"/>
      <w:lvlText w:val="%5."/>
      <w:lvlJc w:val="left"/>
      <w:pPr>
        <w:tabs>
          <w:tab w:val="num" w:pos="3600"/>
        </w:tabs>
        <w:ind w:left="3600" w:hanging="360"/>
      </w:pPr>
    </w:lvl>
    <w:lvl w:ilvl="5" w:tplc="F3AEF4B2" w:tentative="1">
      <w:start w:val="1"/>
      <w:numFmt w:val="lowerRoman"/>
      <w:lvlText w:val="%6."/>
      <w:lvlJc w:val="right"/>
      <w:pPr>
        <w:tabs>
          <w:tab w:val="num" w:pos="4320"/>
        </w:tabs>
        <w:ind w:left="4320" w:hanging="180"/>
      </w:pPr>
    </w:lvl>
    <w:lvl w:ilvl="6" w:tplc="01D23DC0" w:tentative="1">
      <w:start w:val="1"/>
      <w:numFmt w:val="decimal"/>
      <w:lvlText w:val="%7."/>
      <w:lvlJc w:val="left"/>
      <w:pPr>
        <w:tabs>
          <w:tab w:val="num" w:pos="5040"/>
        </w:tabs>
        <w:ind w:left="5040" w:hanging="360"/>
      </w:pPr>
    </w:lvl>
    <w:lvl w:ilvl="7" w:tplc="3E049176" w:tentative="1">
      <w:start w:val="1"/>
      <w:numFmt w:val="lowerLetter"/>
      <w:lvlText w:val="%8."/>
      <w:lvlJc w:val="left"/>
      <w:pPr>
        <w:tabs>
          <w:tab w:val="num" w:pos="5760"/>
        </w:tabs>
        <w:ind w:left="5760" w:hanging="360"/>
      </w:pPr>
    </w:lvl>
    <w:lvl w:ilvl="8" w:tplc="DF00ACF6" w:tentative="1">
      <w:start w:val="1"/>
      <w:numFmt w:val="lowerRoman"/>
      <w:lvlText w:val="%9."/>
      <w:lvlJc w:val="right"/>
      <w:pPr>
        <w:tabs>
          <w:tab w:val="num" w:pos="6480"/>
        </w:tabs>
        <w:ind w:left="6480" w:hanging="180"/>
      </w:pPr>
    </w:lvl>
  </w:abstractNum>
  <w:abstractNum w:abstractNumId="14" w15:restartNumberingAfterBreak="0">
    <w:nsid w:val="23617166"/>
    <w:multiLevelType w:val="multilevel"/>
    <w:tmpl w:val="0DE2F7A6"/>
    <w:lvl w:ilvl="0">
      <w:start w:val="1"/>
      <w:numFmt w:val="decimal"/>
      <w:lvlText w:val="%1."/>
      <w:lvlJc w:val="left"/>
      <w:pPr>
        <w:tabs>
          <w:tab w:val="num" w:pos="720"/>
        </w:tabs>
        <w:ind w:left="720" w:hanging="720"/>
      </w:pPr>
      <w:rPr>
        <w:rFonts w:ascii="Times New Roman" w:hAnsi="Times New Roman" w:cs="Times New Roman" w:hint="default"/>
        <w:b/>
        <w:i w:val="0"/>
        <w:color w:val="5F5F5F"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i w:val="0"/>
        <w:color w:val="5F5F5F" w:themeColor="text1"/>
        <w:sz w:val="22"/>
      </w:rPr>
    </w:lvl>
    <w:lvl w:ilvl="2">
      <w:start w:val="1"/>
      <w:numFmt w:val="lowerLetter"/>
      <w:lvlText w:val="(%3)"/>
      <w:lvlJc w:val="left"/>
      <w:pPr>
        <w:tabs>
          <w:tab w:val="num" w:pos="1440"/>
        </w:tabs>
        <w:ind w:left="1440" w:hanging="720"/>
      </w:pPr>
      <w:rPr>
        <w:rFonts w:hint="default"/>
        <w:color w:val="5F5F5F" w:themeColor="text1"/>
      </w:rPr>
    </w:lvl>
    <w:lvl w:ilvl="3">
      <w:start w:val="1"/>
      <w:numFmt w:val="lowerRoman"/>
      <w:lvlText w:val="(%4)"/>
      <w:lvlJc w:val="left"/>
      <w:pPr>
        <w:tabs>
          <w:tab w:val="num" w:pos="2160"/>
        </w:tabs>
        <w:ind w:left="2160" w:hanging="720"/>
      </w:pPr>
      <w:rPr>
        <w:rFonts w:hint="default"/>
        <w:color w:val="5F5F5F" w:themeColor="text1"/>
      </w:rPr>
    </w:lvl>
    <w:lvl w:ilvl="4">
      <w:start w:val="1"/>
      <w:numFmt w:val="upperLetter"/>
      <w:lvlText w:val="(%5)"/>
      <w:lvlJc w:val="left"/>
      <w:pPr>
        <w:tabs>
          <w:tab w:val="num" w:pos="2880"/>
        </w:tabs>
        <w:ind w:left="2880" w:hanging="720"/>
      </w:pPr>
      <w:rPr>
        <w:rFonts w:hint="default"/>
        <w:color w:val="5F5F5F" w:themeColor="text1"/>
      </w:rPr>
    </w:lvl>
    <w:lvl w:ilvl="5">
      <w:start w:val="1"/>
      <w:numFmt w:val="decimal"/>
      <w:lvlText w:val="(%6)"/>
      <w:lvlJc w:val="left"/>
      <w:pPr>
        <w:tabs>
          <w:tab w:val="num" w:pos="3600"/>
        </w:tabs>
        <w:ind w:left="3600" w:hanging="720"/>
      </w:pPr>
      <w:rPr>
        <w:rFonts w:hint="default"/>
        <w:color w:val="5F5F5F" w:themeColor="text1"/>
      </w:rPr>
    </w:lvl>
    <w:lvl w:ilvl="6">
      <w:start w:val="1"/>
      <w:numFmt w:val="upperRoman"/>
      <w:lvlText w:val="(%7)"/>
      <w:lvlJc w:val="left"/>
      <w:pPr>
        <w:tabs>
          <w:tab w:val="num" w:pos="4320"/>
        </w:tabs>
        <w:ind w:left="4320" w:hanging="720"/>
      </w:pPr>
      <w:rPr>
        <w:rFonts w:hint="default"/>
        <w:color w:val="5F5F5F" w:themeColor="text1"/>
      </w:rPr>
    </w:lvl>
    <w:lvl w:ilvl="7">
      <w:start w:val="1"/>
      <w:numFmt w:val="none"/>
      <w:suff w:val="nothing"/>
      <w:lvlText w:val=""/>
      <w:lvlJc w:val="left"/>
      <w:pPr>
        <w:ind w:left="0" w:firstLine="0"/>
      </w:pPr>
      <w:rPr>
        <w:rFonts w:hint="default"/>
        <w:color w:val="5F5F5F" w:themeColor="text1"/>
      </w:rPr>
    </w:lvl>
    <w:lvl w:ilvl="8">
      <w:start w:val="1"/>
      <w:numFmt w:val="none"/>
      <w:suff w:val="nothing"/>
      <w:lvlText w:val=""/>
      <w:lvlJc w:val="left"/>
      <w:pPr>
        <w:ind w:left="0" w:firstLine="0"/>
      </w:pPr>
      <w:rPr>
        <w:rFonts w:hint="default"/>
        <w:color w:val="5F5F5F" w:themeColor="text1"/>
      </w:rPr>
    </w:lvl>
  </w:abstractNum>
  <w:abstractNum w:abstractNumId="15" w15:restartNumberingAfterBreak="0">
    <w:nsid w:val="2B0768D5"/>
    <w:multiLevelType w:val="multilevel"/>
    <w:tmpl w:val="4D90F278"/>
    <w:lvl w:ilvl="0">
      <w:start w:val="1"/>
      <w:numFmt w:val="decimal"/>
      <w:pStyle w:val="Appendix1"/>
      <w:lvlText w:val="%1."/>
      <w:lvlJc w:val="left"/>
      <w:pPr>
        <w:tabs>
          <w:tab w:val="num" w:pos="720"/>
        </w:tabs>
        <w:ind w:left="720" w:hanging="720"/>
      </w:pPr>
      <w:rPr>
        <w:rFonts w:ascii="Times New Roman" w:hAnsi="Times New Roman" w:cs="Times New Roman" w:hint="default"/>
        <w:b/>
        <w:i w:val="0"/>
        <w:color w:val="5F5F5F" w:themeColor="text1"/>
        <w:sz w:val="26"/>
      </w:rPr>
    </w:lvl>
    <w:lvl w:ilvl="1">
      <w:start w:val="1"/>
      <w:numFmt w:val="decimal"/>
      <w:pStyle w:val="Appendix2"/>
      <w:isLgl/>
      <w:lvlText w:val="%1.%2"/>
      <w:lvlJc w:val="left"/>
      <w:pPr>
        <w:tabs>
          <w:tab w:val="num" w:pos="720"/>
        </w:tabs>
        <w:ind w:left="720" w:hanging="720"/>
      </w:pPr>
      <w:rPr>
        <w:rFonts w:ascii="Times New Roman" w:hAnsi="Times New Roman" w:cs="Times New Roman" w:hint="default"/>
        <w:b/>
        <w:i w:val="0"/>
        <w:color w:val="5F5F5F" w:themeColor="text1"/>
        <w:sz w:val="22"/>
      </w:rPr>
    </w:lvl>
    <w:lvl w:ilvl="2">
      <w:start w:val="1"/>
      <w:numFmt w:val="lowerLetter"/>
      <w:pStyle w:val="Appendix3"/>
      <w:lvlText w:val="(%3)"/>
      <w:lvlJc w:val="left"/>
      <w:pPr>
        <w:tabs>
          <w:tab w:val="num" w:pos="1440"/>
        </w:tabs>
        <w:ind w:left="1440" w:hanging="720"/>
      </w:pPr>
      <w:rPr>
        <w:rFonts w:hint="default"/>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6" w15:restartNumberingAfterBreak="0">
    <w:nsid w:val="2F1C7A27"/>
    <w:multiLevelType w:val="hybridMultilevel"/>
    <w:tmpl w:val="06924C16"/>
    <w:lvl w:ilvl="0" w:tplc="A94A0990">
      <w:start w:val="1"/>
      <w:numFmt w:val="bullet"/>
      <w:pStyle w:val="Bullet2"/>
      <w:lvlText w:val=""/>
      <w:lvlJc w:val="left"/>
      <w:pPr>
        <w:tabs>
          <w:tab w:val="num" w:pos="357"/>
        </w:tabs>
        <w:ind w:left="357" w:hanging="357"/>
      </w:pPr>
      <w:rPr>
        <w:rFonts w:ascii="Symbol" w:hAnsi="Symbol" w:hint="default"/>
      </w:rPr>
    </w:lvl>
    <w:lvl w:ilvl="1" w:tplc="3B603558" w:tentative="1">
      <w:start w:val="1"/>
      <w:numFmt w:val="bullet"/>
      <w:lvlText w:val="o"/>
      <w:lvlJc w:val="left"/>
      <w:pPr>
        <w:tabs>
          <w:tab w:val="num" w:pos="1440"/>
        </w:tabs>
        <w:ind w:left="1440" w:hanging="360"/>
      </w:pPr>
      <w:rPr>
        <w:rFonts w:ascii="Courier New" w:hAnsi="Courier New" w:cs="Courier New" w:hint="default"/>
      </w:rPr>
    </w:lvl>
    <w:lvl w:ilvl="2" w:tplc="ED626288" w:tentative="1">
      <w:start w:val="1"/>
      <w:numFmt w:val="bullet"/>
      <w:lvlText w:val=""/>
      <w:lvlJc w:val="left"/>
      <w:pPr>
        <w:tabs>
          <w:tab w:val="num" w:pos="2160"/>
        </w:tabs>
        <w:ind w:left="2160" w:hanging="360"/>
      </w:pPr>
      <w:rPr>
        <w:rFonts w:ascii="Wingdings" w:hAnsi="Wingdings" w:hint="default"/>
      </w:rPr>
    </w:lvl>
    <w:lvl w:ilvl="3" w:tplc="641602BC" w:tentative="1">
      <w:start w:val="1"/>
      <w:numFmt w:val="bullet"/>
      <w:lvlText w:val=""/>
      <w:lvlJc w:val="left"/>
      <w:pPr>
        <w:tabs>
          <w:tab w:val="num" w:pos="2880"/>
        </w:tabs>
        <w:ind w:left="2880" w:hanging="360"/>
      </w:pPr>
      <w:rPr>
        <w:rFonts w:ascii="Symbol" w:hAnsi="Symbol" w:hint="default"/>
      </w:rPr>
    </w:lvl>
    <w:lvl w:ilvl="4" w:tplc="43E6524A" w:tentative="1">
      <w:start w:val="1"/>
      <w:numFmt w:val="bullet"/>
      <w:lvlText w:val="o"/>
      <w:lvlJc w:val="left"/>
      <w:pPr>
        <w:tabs>
          <w:tab w:val="num" w:pos="3600"/>
        </w:tabs>
        <w:ind w:left="3600" w:hanging="360"/>
      </w:pPr>
      <w:rPr>
        <w:rFonts w:ascii="Courier New" w:hAnsi="Courier New" w:cs="Courier New" w:hint="default"/>
      </w:rPr>
    </w:lvl>
    <w:lvl w:ilvl="5" w:tplc="627A6E44" w:tentative="1">
      <w:start w:val="1"/>
      <w:numFmt w:val="bullet"/>
      <w:lvlText w:val=""/>
      <w:lvlJc w:val="left"/>
      <w:pPr>
        <w:tabs>
          <w:tab w:val="num" w:pos="4320"/>
        </w:tabs>
        <w:ind w:left="4320" w:hanging="360"/>
      </w:pPr>
      <w:rPr>
        <w:rFonts w:ascii="Wingdings" w:hAnsi="Wingdings" w:hint="default"/>
      </w:rPr>
    </w:lvl>
    <w:lvl w:ilvl="6" w:tplc="B8F8AA88" w:tentative="1">
      <w:start w:val="1"/>
      <w:numFmt w:val="bullet"/>
      <w:lvlText w:val=""/>
      <w:lvlJc w:val="left"/>
      <w:pPr>
        <w:tabs>
          <w:tab w:val="num" w:pos="5040"/>
        </w:tabs>
        <w:ind w:left="5040" w:hanging="360"/>
      </w:pPr>
      <w:rPr>
        <w:rFonts w:ascii="Symbol" w:hAnsi="Symbol" w:hint="default"/>
      </w:rPr>
    </w:lvl>
    <w:lvl w:ilvl="7" w:tplc="CF64AA0C" w:tentative="1">
      <w:start w:val="1"/>
      <w:numFmt w:val="bullet"/>
      <w:lvlText w:val="o"/>
      <w:lvlJc w:val="left"/>
      <w:pPr>
        <w:tabs>
          <w:tab w:val="num" w:pos="5760"/>
        </w:tabs>
        <w:ind w:left="5760" w:hanging="360"/>
      </w:pPr>
      <w:rPr>
        <w:rFonts w:ascii="Courier New" w:hAnsi="Courier New" w:cs="Courier New" w:hint="default"/>
      </w:rPr>
    </w:lvl>
    <w:lvl w:ilvl="8" w:tplc="39840E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0" w15:restartNumberingAfterBreak="0">
    <w:nsid w:val="384B62EE"/>
    <w:multiLevelType w:val="hybridMultilevel"/>
    <w:tmpl w:val="410AAFB0"/>
    <w:lvl w:ilvl="0" w:tplc="801AD5DC">
      <w:start w:val="1"/>
      <w:numFmt w:val="bullet"/>
      <w:lvlText w:val=""/>
      <w:lvlJc w:val="left"/>
      <w:pPr>
        <w:ind w:left="780" w:hanging="360"/>
      </w:pPr>
      <w:rPr>
        <w:rFonts w:ascii="Symbol" w:hAnsi="Symbol" w:hint="default"/>
      </w:rPr>
    </w:lvl>
    <w:lvl w:ilvl="1" w:tplc="D072402C" w:tentative="1">
      <w:start w:val="1"/>
      <w:numFmt w:val="bullet"/>
      <w:lvlText w:val="o"/>
      <w:lvlJc w:val="left"/>
      <w:pPr>
        <w:ind w:left="1500" w:hanging="360"/>
      </w:pPr>
      <w:rPr>
        <w:rFonts w:ascii="Courier New" w:hAnsi="Courier New" w:cs="Courier New" w:hint="default"/>
      </w:rPr>
    </w:lvl>
    <w:lvl w:ilvl="2" w:tplc="33A0E102" w:tentative="1">
      <w:start w:val="1"/>
      <w:numFmt w:val="bullet"/>
      <w:lvlText w:val=""/>
      <w:lvlJc w:val="left"/>
      <w:pPr>
        <w:ind w:left="2220" w:hanging="360"/>
      </w:pPr>
      <w:rPr>
        <w:rFonts w:ascii="Wingdings" w:hAnsi="Wingdings" w:hint="default"/>
      </w:rPr>
    </w:lvl>
    <w:lvl w:ilvl="3" w:tplc="AA7E1A58" w:tentative="1">
      <w:start w:val="1"/>
      <w:numFmt w:val="bullet"/>
      <w:lvlText w:val=""/>
      <w:lvlJc w:val="left"/>
      <w:pPr>
        <w:ind w:left="2940" w:hanging="360"/>
      </w:pPr>
      <w:rPr>
        <w:rFonts w:ascii="Symbol" w:hAnsi="Symbol" w:hint="default"/>
      </w:rPr>
    </w:lvl>
    <w:lvl w:ilvl="4" w:tplc="2696C62E" w:tentative="1">
      <w:start w:val="1"/>
      <w:numFmt w:val="bullet"/>
      <w:lvlText w:val="o"/>
      <w:lvlJc w:val="left"/>
      <w:pPr>
        <w:ind w:left="3660" w:hanging="360"/>
      </w:pPr>
      <w:rPr>
        <w:rFonts w:ascii="Courier New" w:hAnsi="Courier New" w:cs="Courier New" w:hint="default"/>
      </w:rPr>
    </w:lvl>
    <w:lvl w:ilvl="5" w:tplc="7242B972" w:tentative="1">
      <w:start w:val="1"/>
      <w:numFmt w:val="bullet"/>
      <w:lvlText w:val=""/>
      <w:lvlJc w:val="left"/>
      <w:pPr>
        <w:ind w:left="4380" w:hanging="360"/>
      </w:pPr>
      <w:rPr>
        <w:rFonts w:ascii="Wingdings" w:hAnsi="Wingdings" w:hint="default"/>
      </w:rPr>
    </w:lvl>
    <w:lvl w:ilvl="6" w:tplc="CF6A9D3A" w:tentative="1">
      <w:start w:val="1"/>
      <w:numFmt w:val="bullet"/>
      <w:lvlText w:val=""/>
      <w:lvlJc w:val="left"/>
      <w:pPr>
        <w:ind w:left="5100" w:hanging="360"/>
      </w:pPr>
      <w:rPr>
        <w:rFonts w:ascii="Symbol" w:hAnsi="Symbol" w:hint="default"/>
      </w:rPr>
    </w:lvl>
    <w:lvl w:ilvl="7" w:tplc="42A63968" w:tentative="1">
      <w:start w:val="1"/>
      <w:numFmt w:val="bullet"/>
      <w:lvlText w:val="o"/>
      <w:lvlJc w:val="left"/>
      <w:pPr>
        <w:ind w:left="5820" w:hanging="360"/>
      </w:pPr>
      <w:rPr>
        <w:rFonts w:ascii="Courier New" w:hAnsi="Courier New" w:cs="Courier New" w:hint="default"/>
      </w:rPr>
    </w:lvl>
    <w:lvl w:ilvl="8" w:tplc="92C060F2" w:tentative="1">
      <w:start w:val="1"/>
      <w:numFmt w:val="bullet"/>
      <w:lvlText w:val=""/>
      <w:lvlJc w:val="left"/>
      <w:pPr>
        <w:ind w:left="6540" w:hanging="360"/>
      </w:pPr>
      <w:rPr>
        <w:rFonts w:ascii="Wingdings" w:hAnsi="Wingdings" w:hint="default"/>
      </w:rPr>
    </w:lvl>
  </w:abstractNum>
  <w:abstractNum w:abstractNumId="21" w15:restartNumberingAfterBreak="0">
    <w:nsid w:val="389D1BF3"/>
    <w:multiLevelType w:val="multilevel"/>
    <w:tmpl w:val="7B24B224"/>
    <w:numStyleLink w:val="BMHeadings"/>
  </w:abstractNum>
  <w:abstractNum w:abstractNumId="22"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C3910"/>
    <w:multiLevelType w:val="multilevel"/>
    <w:tmpl w:val="7B24B224"/>
    <w:numStyleLink w:val="BMHeadings"/>
  </w:abstractNum>
  <w:abstractNum w:abstractNumId="30"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3867F6"/>
    <w:multiLevelType w:val="hybridMultilevel"/>
    <w:tmpl w:val="1BCEEF14"/>
    <w:lvl w:ilvl="0" w:tplc="AA0292F4">
      <w:start w:val="1"/>
      <w:numFmt w:val="bullet"/>
      <w:pStyle w:val="Bullet1"/>
      <w:lvlText w:val=""/>
      <w:lvlJc w:val="left"/>
      <w:pPr>
        <w:tabs>
          <w:tab w:val="num" w:pos="709"/>
        </w:tabs>
        <w:ind w:left="709" w:hanging="709"/>
      </w:pPr>
      <w:rPr>
        <w:rFonts w:ascii="Symbol" w:hAnsi="Symbol" w:hint="default"/>
      </w:rPr>
    </w:lvl>
    <w:lvl w:ilvl="1" w:tplc="1C10F532" w:tentative="1">
      <w:start w:val="1"/>
      <w:numFmt w:val="bullet"/>
      <w:lvlText w:val="o"/>
      <w:lvlJc w:val="left"/>
      <w:pPr>
        <w:tabs>
          <w:tab w:val="num" w:pos="1440"/>
        </w:tabs>
        <w:ind w:left="1440" w:hanging="360"/>
      </w:pPr>
      <w:rPr>
        <w:rFonts w:ascii="Courier New" w:hAnsi="Courier New" w:cs="Courier New" w:hint="default"/>
      </w:rPr>
    </w:lvl>
    <w:lvl w:ilvl="2" w:tplc="03C6141A" w:tentative="1">
      <w:start w:val="1"/>
      <w:numFmt w:val="bullet"/>
      <w:lvlText w:val=""/>
      <w:lvlJc w:val="left"/>
      <w:pPr>
        <w:tabs>
          <w:tab w:val="num" w:pos="2160"/>
        </w:tabs>
        <w:ind w:left="2160" w:hanging="360"/>
      </w:pPr>
      <w:rPr>
        <w:rFonts w:ascii="Wingdings" w:hAnsi="Wingdings" w:hint="default"/>
      </w:rPr>
    </w:lvl>
    <w:lvl w:ilvl="3" w:tplc="AA82DB1A" w:tentative="1">
      <w:start w:val="1"/>
      <w:numFmt w:val="bullet"/>
      <w:lvlText w:val=""/>
      <w:lvlJc w:val="left"/>
      <w:pPr>
        <w:tabs>
          <w:tab w:val="num" w:pos="2880"/>
        </w:tabs>
        <w:ind w:left="2880" w:hanging="360"/>
      </w:pPr>
      <w:rPr>
        <w:rFonts w:ascii="Symbol" w:hAnsi="Symbol" w:hint="default"/>
      </w:rPr>
    </w:lvl>
    <w:lvl w:ilvl="4" w:tplc="FC7CC1BA" w:tentative="1">
      <w:start w:val="1"/>
      <w:numFmt w:val="bullet"/>
      <w:lvlText w:val="o"/>
      <w:lvlJc w:val="left"/>
      <w:pPr>
        <w:tabs>
          <w:tab w:val="num" w:pos="3600"/>
        </w:tabs>
        <w:ind w:left="3600" w:hanging="360"/>
      </w:pPr>
      <w:rPr>
        <w:rFonts w:ascii="Courier New" w:hAnsi="Courier New" w:cs="Courier New" w:hint="default"/>
      </w:rPr>
    </w:lvl>
    <w:lvl w:ilvl="5" w:tplc="7D98D1B0" w:tentative="1">
      <w:start w:val="1"/>
      <w:numFmt w:val="bullet"/>
      <w:lvlText w:val=""/>
      <w:lvlJc w:val="left"/>
      <w:pPr>
        <w:tabs>
          <w:tab w:val="num" w:pos="4320"/>
        </w:tabs>
        <w:ind w:left="4320" w:hanging="360"/>
      </w:pPr>
      <w:rPr>
        <w:rFonts w:ascii="Wingdings" w:hAnsi="Wingdings" w:hint="default"/>
      </w:rPr>
    </w:lvl>
    <w:lvl w:ilvl="6" w:tplc="C8447498" w:tentative="1">
      <w:start w:val="1"/>
      <w:numFmt w:val="bullet"/>
      <w:lvlText w:val=""/>
      <w:lvlJc w:val="left"/>
      <w:pPr>
        <w:tabs>
          <w:tab w:val="num" w:pos="5040"/>
        </w:tabs>
        <w:ind w:left="5040" w:hanging="360"/>
      </w:pPr>
      <w:rPr>
        <w:rFonts w:ascii="Symbol" w:hAnsi="Symbol" w:hint="default"/>
      </w:rPr>
    </w:lvl>
    <w:lvl w:ilvl="7" w:tplc="7038A808" w:tentative="1">
      <w:start w:val="1"/>
      <w:numFmt w:val="bullet"/>
      <w:lvlText w:val="o"/>
      <w:lvlJc w:val="left"/>
      <w:pPr>
        <w:tabs>
          <w:tab w:val="num" w:pos="5760"/>
        </w:tabs>
        <w:ind w:left="5760" w:hanging="360"/>
      </w:pPr>
      <w:rPr>
        <w:rFonts w:ascii="Courier New" w:hAnsi="Courier New" w:cs="Courier New" w:hint="default"/>
      </w:rPr>
    </w:lvl>
    <w:lvl w:ilvl="8" w:tplc="CB9809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4"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3566E2B"/>
    <w:multiLevelType w:val="hybridMultilevel"/>
    <w:tmpl w:val="7F3461E4"/>
    <w:lvl w:ilvl="0" w:tplc="03A2AAF4">
      <w:start w:val="1"/>
      <w:numFmt w:val="bullet"/>
      <w:lvlText w:val=""/>
      <w:lvlJc w:val="left"/>
      <w:pPr>
        <w:ind w:left="720" w:hanging="360"/>
      </w:pPr>
      <w:rPr>
        <w:rFonts w:ascii="Symbol" w:hAnsi="Symbol" w:hint="default"/>
      </w:rPr>
    </w:lvl>
    <w:lvl w:ilvl="1" w:tplc="E4C4CFE8" w:tentative="1">
      <w:start w:val="1"/>
      <w:numFmt w:val="bullet"/>
      <w:lvlText w:val="o"/>
      <w:lvlJc w:val="left"/>
      <w:pPr>
        <w:ind w:left="1440" w:hanging="360"/>
      </w:pPr>
      <w:rPr>
        <w:rFonts w:ascii="Courier New" w:hAnsi="Courier New" w:cs="Courier New" w:hint="default"/>
      </w:rPr>
    </w:lvl>
    <w:lvl w:ilvl="2" w:tplc="8548824C" w:tentative="1">
      <w:start w:val="1"/>
      <w:numFmt w:val="bullet"/>
      <w:lvlText w:val=""/>
      <w:lvlJc w:val="left"/>
      <w:pPr>
        <w:ind w:left="2160" w:hanging="360"/>
      </w:pPr>
      <w:rPr>
        <w:rFonts w:ascii="Wingdings" w:hAnsi="Wingdings" w:hint="default"/>
      </w:rPr>
    </w:lvl>
    <w:lvl w:ilvl="3" w:tplc="3A3A3B14" w:tentative="1">
      <w:start w:val="1"/>
      <w:numFmt w:val="bullet"/>
      <w:lvlText w:val=""/>
      <w:lvlJc w:val="left"/>
      <w:pPr>
        <w:ind w:left="2880" w:hanging="360"/>
      </w:pPr>
      <w:rPr>
        <w:rFonts w:ascii="Symbol" w:hAnsi="Symbol" w:hint="default"/>
      </w:rPr>
    </w:lvl>
    <w:lvl w:ilvl="4" w:tplc="C0BA1724" w:tentative="1">
      <w:start w:val="1"/>
      <w:numFmt w:val="bullet"/>
      <w:lvlText w:val="o"/>
      <w:lvlJc w:val="left"/>
      <w:pPr>
        <w:ind w:left="3600" w:hanging="360"/>
      </w:pPr>
      <w:rPr>
        <w:rFonts w:ascii="Courier New" w:hAnsi="Courier New" w:cs="Courier New" w:hint="default"/>
      </w:rPr>
    </w:lvl>
    <w:lvl w:ilvl="5" w:tplc="0B701DEC" w:tentative="1">
      <w:start w:val="1"/>
      <w:numFmt w:val="bullet"/>
      <w:lvlText w:val=""/>
      <w:lvlJc w:val="left"/>
      <w:pPr>
        <w:ind w:left="4320" w:hanging="360"/>
      </w:pPr>
      <w:rPr>
        <w:rFonts w:ascii="Wingdings" w:hAnsi="Wingdings" w:hint="default"/>
      </w:rPr>
    </w:lvl>
    <w:lvl w:ilvl="6" w:tplc="530C8952" w:tentative="1">
      <w:start w:val="1"/>
      <w:numFmt w:val="bullet"/>
      <w:lvlText w:val=""/>
      <w:lvlJc w:val="left"/>
      <w:pPr>
        <w:ind w:left="5040" w:hanging="360"/>
      </w:pPr>
      <w:rPr>
        <w:rFonts w:ascii="Symbol" w:hAnsi="Symbol" w:hint="default"/>
      </w:rPr>
    </w:lvl>
    <w:lvl w:ilvl="7" w:tplc="8056E14C" w:tentative="1">
      <w:start w:val="1"/>
      <w:numFmt w:val="bullet"/>
      <w:lvlText w:val="o"/>
      <w:lvlJc w:val="left"/>
      <w:pPr>
        <w:ind w:left="5760" w:hanging="360"/>
      </w:pPr>
      <w:rPr>
        <w:rFonts w:ascii="Courier New" w:hAnsi="Courier New" w:cs="Courier New" w:hint="default"/>
      </w:rPr>
    </w:lvl>
    <w:lvl w:ilvl="8" w:tplc="D4F69C40" w:tentative="1">
      <w:start w:val="1"/>
      <w:numFmt w:val="bullet"/>
      <w:lvlText w:val=""/>
      <w:lvlJc w:val="left"/>
      <w:pPr>
        <w:ind w:left="6480" w:hanging="360"/>
      </w:pPr>
      <w:rPr>
        <w:rFonts w:ascii="Wingdings" w:hAnsi="Wingdings" w:hint="default"/>
      </w:rPr>
    </w:lvl>
  </w:abstractNum>
  <w:abstractNum w:abstractNumId="38"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9140688">
    <w:abstractNumId w:val="32"/>
  </w:num>
  <w:num w:numId="2" w16cid:durableId="237517645">
    <w:abstractNumId w:val="16"/>
  </w:num>
  <w:num w:numId="3" w16cid:durableId="44523143">
    <w:abstractNumId w:val="17"/>
  </w:num>
  <w:num w:numId="4" w16cid:durableId="1827235279">
    <w:abstractNumId w:val="25"/>
  </w:num>
  <w:num w:numId="5" w16cid:durableId="579828097">
    <w:abstractNumId w:val="8"/>
  </w:num>
  <w:num w:numId="6" w16cid:durableId="1904564303">
    <w:abstractNumId w:val="30"/>
  </w:num>
  <w:num w:numId="7" w16cid:durableId="2017346022">
    <w:abstractNumId w:val="28"/>
  </w:num>
  <w:num w:numId="8" w16cid:durableId="2080865021">
    <w:abstractNumId w:val="27"/>
  </w:num>
  <w:num w:numId="9" w16cid:durableId="1558709452">
    <w:abstractNumId w:val="40"/>
  </w:num>
  <w:num w:numId="10" w16cid:durableId="378601577">
    <w:abstractNumId w:val="5"/>
  </w:num>
  <w:num w:numId="11" w16cid:durableId="253049297">
    <w:abstractNumId w:val="4"/>
  </w:num>
  <w:num w:numId="12" w16cid:durableId="513346092">
    <w:abstractNumId w:val="3"/>
  </w:num>
  <w:num w:numId="13" w16cid:durableId="1403872559">
    <w:abstractNumId w:val="2"/>
  </w:num>
  <w:num w:numId="14" w16cid:durableId="1349525221">
    <w:abstractNumId w:val="1"/>
  </w:num>
  <w:num w:numId="15" w16cid:durableId="1433479538">
    <w:abstractNumId w:val="0"/>
  </w:num>
  <w:num w:numId="16" w16cid:durableId="2118326329">
    <w:abstractNumId w:val="35"/>
  </w:num>
  <w:num w:numId="17" w16cid:durableId="1427072361">
    <w:abstractNumId w:val="11"/>
  </w:num>
  <w:num w:numId="18" w16cid:durableId="1887834724">
    <w:abstractNumId w:val="39"/>
  </w:num>
  <w:num w:numId="19" w16cid:durableId="333144494">
    <w:abstractNumId w:val="10"/>
  </w:num>
  <w:num w:numId="20" w16cid:durableId="1540628354">
    <w:abstractNumId w:val="31"/>
  </w:num>
  <w:num w:numId="21" w16cid:durableId="10954974">
    <w:abstractNumId w:val="23"/>
  </w:num>
  <w:num w:numId="22" w16cid:durableId="599878832">
    <w:abstractNumId w:val="38"/>
  </w:num>
  <w:num w:numId="23" w16cid:durableId="395200854">
    <w:abstractNumId w:val="24"/>
  </w:num>
  <w:num w:numId="24" w16cid:durableId="464347379">
    <w:abstractNumId w:val="21"/>
  </w:num>
  <w:num w:numId="25" w16cid:durableId="293874402">
    <w:abstractNumId w:val="21"/>
  </w:num>
  <w:num w:numId="26" w16cid:durableId="991251989">
    <w:abstractNumId w:val="21"/>
  </w:num>
  <w:num w:numId="27" w16cid:durableId="457380451">
    <w:abstractNumId w:val="21"/>
  </w:num>
  <w:num w:numId="28" w16cid:durableId="1191190364">
    <w:abstractNumId w:val="21"/>
  </w:num>
  <w:num w:numId="29" w16cid:durableId="986082019">
    <w:abstractNumId w:val="21"/>
  </w:num>
  <w:num w:numId="30" w16cid:durableId="2145539106">
    <w:abstractNumId w:val="13"/>
  </w:num>
  <w:num w:numId="31" w16cid:durableId="282200737">
    <w:abstractNumId w:val="33"/>
  </w:num>
  <w:num w:numId="32" w16cid:durableId="2098673300">
    <w:abstractNumId w:val="29"/>
  </w:num>
  <w:num w:numId="33" w16cid:durableId="1023094827">
    <w:abstractNumId w:val="9"/>
  </w:num>
  <w:num w:numId="34" w16cid:durableId="1830515805">
    <w:abstractNumId w:val="6"/>
  </w:num>
  <w:num w:numId="35" w16cid:durableId="1118913476">
    <w:abstractNumId w:val="36"/>
  </w:num>
  <w:num w:numId="36" w16cid:durableId="725488019">
    <w:abstractNumId w:val="34"/>
  </w:num>
  <w:num w:numId="37" w16cid:durableId="652639330">
    <w:abstractNumId w:val="18"/>
  </w:num>
  <w:num w:numId="38" w16cid:durableId="291979700">
    <w:abstractNumId w:val="26"/>
  </w:num>
  <w:num w:numId="39" w16cid:durableId="448553991">
    <w:abstractNumId w:val="22"/>
  </w:num>
  <w:num w:numId="40" w16cid:durableId="174416667">
    <w:abstractNumId w:val="15"/>
  </w:num>
  <w:num w:numId="41" w16cid:durableId="2054232840">
    <w:abstractNumId w:val="14"/>
  </w:num>
  <w:num w:numId="42" w16cid:durableId="1433477713">
    <w:abstractNumId w:val="37"/>
  </w:num>
  <w:num w:numId="43" w16cid:durableId="143202015">
    <w:abstractNumId w:val="7"/>
  </w:num>
  <w:num w:numId="44" w16cid:durableId="659386723">
    <w:abstractNumId w:val="19"/>
  </w:num>
  <w:num w:numId="45" w16cid:durableId="1259294117">
    <w:abstractNumId w:val="20"/>
  </w:num>
  <w:num w:numId="46" w16cid:durableId="31244279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LockQFSet/>
  <w:defaultTabStop w:val="706"/>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s>
  <w:rsids>
    <w:rsidRoot w:val="00665AC4"/>
    <w:rsid w:val="000000F3"/>
    <w:rsid w:val="000010D9"/>
    <w:rsid w:val="00001597"/>
    <w:rsid w:val="000019F7"/>
    <w:rsid w:val="00002665"/>
    <w:rsid w:val="00002AD3"/>
    <w:rsid w:val="00006CE8"/>
    <w:rsid w:val="000120CA"/>
    <w:rsid w:val="00012E3A"/>
    <w:rsid w:val="0001376F"/>
    <w:rsid w:val="00013E43"/>
    <w:rsid w:val="00014A14"/>
    <w:rsid w:val="00024298"/>
    <w:rsid w:val="0002435A"/>
    <w:rsid w:val="0002485E"/>
    <w:rsid w:val="00035D72"/>
    <w:rsid w:val="00041A98"/>
    <w:rsid w:val="0004768C"/>
    <w:rsid w:val="00047967"/>
    <w:rsid w:val="00050C72"/>
    <w:rsid w:val="000522D1"/>
    <w:rsid w:val="00053E15"/>
    <w:rsid w:val="000554CF"/>
    <w:rsid w:val="00063312"/>
    <w:rsid w:val="00063C09"/>
    <w:rsid w:val="0006526C"/>
    <w:rsid w:val="000672A7"/>
    <w:rsid w:val="00067418"/>
    <w:rsid w:val="000714D1"/>
    <w:rsid w:val="00072AD5"/>
    <w:rsid w:val="00072AF1"/>
    <w:rsid w:val="000750BE"/>
    <w:rsid w:val="00076C3D"/>
    <w:rsid w:val="0007782A"/>
    <w:rsid w:val="00077942"/>
    <w:rsid w:val="0008129C"/>
    <w:rsid w:val="00084574"/>
    <w:rsid w:val="000857FF"/>
    <w:rsid w:val="0009149B"/>
    <w:rsid w:val="000A1E17"/>
    <w:rsid w:val="000B0EBD"/>
    <w:rsid w:val="000B32D9"/>
    <w:rsid w:val="000B420D"/>
    <w:rsid w:val="000B60EA"/>
    <w:rsid w:val="000B668A"/>
    <w:rsid w:val="000C07FA"/>
    <w:rsid w:val="000C0978"/>
    <w:rsid w:val="000C1103"/>
    <w:rsid w:val="000C353B"/>
    <w:rsid w:val="000C6B63"/>
    <w:rsid w:val="000C713E"/>
    <w:rsid w:val="000D05B0"/>
    <w:rsid w:val="000D287D"/>
    <w:rsid w:val="000D37C3"/>
    <w:rsid w:val="000D457B"/>
    <w:rsid w:val="000E10D3"/>
    <w:rsid w:val="000E1F50"/>
    <w:rsid w:val="000E2765"/>
    <w:rsid w:val="000E5D64"/>
    <w:rsid w:val="000F0430"/>
    <w:rsid w:val="000F0E67"/>
    <w:rsid w:val="000F3B9B"/>
    <w:rsid w:val="00100B0F"/>
    <w:rsid w:val="00102664"/>
    <w:rsid w:val="00110593"/>
    <w:rsid w:val="001141C5"/>
    <w:rsid w:val="0011546B"/>
    <w:rsid w:val="0011644A"/>
    <w:rsid w:val="0011788C"/>
    <w:rsid w:val="00117C2D"/>
    <w:rsid w:val="001244EF"/>
    <w:rsid w:val="00125135"/>
    <w:rsid w:val="001279CD"/>
    <w:rsid w:val="001362B7"/>
    <w:rsid w:val="00136869"/>
    <w:rsid w:val="00143F3F"/>
    <w:rsid w:val="00145B6E"/>
    <w:rsid w:val="00150908"/>
    <w:rsid w:val="001513E0"/>
    <w:rsid w:val="001517E4"/>
    <w:rsid w:val="00155528"/>
    <w:rsid w:val="00160F13"/>
    <w:rsid w:val="0017344C"/>
    <w:rsid w:val="00173FA0"/>
    <w:rsid w:val="001747EA"/>
    <w:rsid w:val="00177D6E"/>
    <w:rsid w:val="00181BD5"/>
    <w:rsid w:val="00182941"/>
    <w:rsid w:val="00182EA2"/>
    <w:rsid w:val="00187810"/>
    <w:rsid w:val="00190E5F"/>
    <w:rsid w:val="001912A3"/>
    <w:rsid w:val="00196323"/>
    <w:rsid w:val="001970FE"/>
    <w:rsid w:val="001A100E"/>
    <w:rsid w:val="001A162C"/>
    <w:rsid w:val="001A3390"/>
    <w:rsid w:val="001A36A4"/>
    <w:rsid w:val="001A43E5"/>
    <w:rsid w:val="001A5A47"/>
    <w:rsid w:val="001B4E5E"/>
    <w:rsid w:val="001C00F1"/>
    <w:rsid w:val="001C163D"/>
    <w:rsid w:val="001C3AA5"/>
    <w:rsid w:val="001C4089"/>
    <w:rsid w:val="001D1291"/>
    <w:rsid w:val="001D23DA"/>
    <w:rsid w:val="001D7E94"/>
    <w:rsid w:val="001E027C"/>
    <w:rsid w:val="001E0F21"/>
    <w:rsid w:val="001E465C"/>
    <w:rsid w:val="001E6601"/>
    <w:rsid w:val="001F043F"/>
    <w:rsid w:val="001F4767"/>
    <w:rsid w:val="001F6E45"/>
    <w:rsid w:val="001F7853"/>
    <w:rsid w:val="00200226"/>
    <w:rsid w:val="00200393"/>
    <w:rsid w:val="00201BE2"/>
    <w:rsid w:val="0020645D"/>
    <w:rsid w:val="00206FD8"/>
    <w:rsid w:val="00207040"/>
    <w:rsid w:val="002155D1"/>
    <w:rsid w:val="00217314"/>
    <w:rsid w:val="00222FBE"/>
    <w:rsid w:val="002251F1"/>
    <w:rsid w:val="00230D1B"/>
    <w:rsid w:val="00234991"/>
    <w:rsid w:val="002376EE"/>
    <w:rsid w:val="002377D6"/>
    <w:rsid w:val="00237A4A"/>
    <w:rsid w:val="002438C2"/>
    <w:rsid w:val="00246C97"/>
    <w:rsid w:val="00253DE3"/>
    <w:rsid w:val="0025553D"/>
    <w:rsid w:val="00255F94"/>
    <w:rsid w:val="0025748C"/>
    <w:rsid w:val="00262824"/>
    <w:rsid w:val="002642E2"/>
    <w:rsid w:val="002649F6"/>
    <w:rsid w:val="00265E24"/>
    <w:rsid w:val="00266559"/>
    <w:rsid w:val="00266729"/>
    <w:rsid w:val="00266846"/>
    <w:rsid w:val="00272A71"/>
    <w:rsid w:val="00274887"/>
    <w:rsid w:val="00275CBF"/>
    <w:rsid w:val="002805CD"/>
    <w:rsid w:val="00282861"/>
    <w:rsid w:val="00282B9E"/>
    <w:rsid w:val="00282DB3"/>
    <w:rsid w:val="00283DC1"/>
    <w:rsid w:val="00284C6D"/>
    <w:rsid w:val="00285860"/>
    <w:rsid w:val="00286A36"/>
    <w:rsid w:val="0029051E"/>
    <w:rsid w:val="0029373F"/>
    <w:rsid w:val="00294AEA"/>
    <w:rsid w:val="00295315"/>
    <w:rsid w:val="0029597A"/>
    <w:rsid w:val="0029748A"/>
    <w:rsid w:val="002A0806"/>
    <w:rsid w:val="002A111B"/>
    <w:rsid w:val="002A18FD"/>
    <w:rsid w:val="002A252B"/>
    <w:rsid w:val="002A5692"/>
    <w:rsid w:val="002B006C"/>
    <w:rsid w:val="002B2979"/>
    <w:rsid w:val="002B2FAD"/>
    <w:rsid w:val="002B3CED"/>
    <w:rsid w:val="002B4965"/>
    <w:rsid w:val="002B4BD2"/>
    <w:rsid w:val="002B4FF0"/>
    <w:rsid w:val="002B592C"/>
    <w:rsid w:val="002B5F24"/>
    <w:rsid w:val="002B7045"/>
    <w:rsid w:val="002B7C9A"/>
    <w:rsid w:val="002C0298"/>
    <w:rsid w:val="002C3E77"/>
    <w:rsid w:val="002C7BE2"/>
    <w:rsid w:val="002D0A0F"/>
    <w:rsid w:val="002D1A47"/>
    <w:rsid w:val="002D1F3D"/>
    <w:rsid w:val="002D22C6"/>
    <w:rsid w:val="002D47B8"/>
    <w:rsid w:val="002D6124"/>
    <w:rsid w:val="002E3B45"/>
    <w:rsid w:val="002E5308"/>
    <w:rsid w:val="002F21D6"/>
    <w:rsid w:val="002F28D4"/>
    <w:rsid w:val="002F46F4"/>
    <w:rsid w:val="002F6300"/>
    <w:rsid w:val="002F6391"/>
    <w:rsid w:val="0030011E"/>
    <w:rsid w:val="00301932"/>
    <w:rsid w:val="003022A1"/>
    <w:rsid w:val="003027C0"/>
    <w:rsid w:val="003039CA"/>
    <w:rsid w:val="00306F0E"/>
    <w:rsid w:val="00307208"/>
    <w:rsid w:val="00310366"/>
    <w:rsid w:val="00310DD0"/>
    <w:rsid w:val="00312192"/>
    <w:rsid w:val="0031294B"/>
    <w:rsid w:val="00312BF9"/>
    <w:rsid w:val="00315412"/>
    <w:rsid w:val="0033488F"/>
    <w:rsid w:val="00335790"/>
    <w:rsid w:val="00336E9D"/>
    <w:rsid w:val="00341316"/>
    <w:rsid w:val="00347B7A"/>
    <w:rsid w:val="0035163A"/>
    <w:rsid w:val="00354F61"/>
    <w:rsid w:val="0035700E"/>
    <w:rsid w:val="00357BA9"/>
    <w:rsid w:val="00363EE5"/>
    <w:rsid w:val="003644F5"/>
    <w:rsid w:val="00365F00"/>
    <w:rsid w:val="0037441B"/>
    <w:rsid w:val="00374BA2"/>
    <w:rsid w:val="00374D09"/>
    <w:rsid w:val="00375AF6"/>
    <w:rsid w:val="00375D47"/>
    <w:rsid w:val="00375E2B"/>
    <w:rsid w:val="003773FD"/>
    <w:rsid w:val="00377943"/>
    <w:rsid w:val="003835B8"/>
    <w:rsid w:val="003862B0"/>
    <w:rsid w:val="003877BD"/>
    <w:rsid w:val="00390890"/>
    <w:rsid w:val="00391175"/>
    <w:rsid w:val="00392458"/>
    <w:rsid w:val="0039719E"/>
    <w:rsid w:val="003A00AA"/>
    <w:rsid w:val="003A38F4"/>
    <w:rsid w:val="003A3B2E"/>
    <w:rsid w:val="003A789E"/>
    <w:rsid w:val="003A7E7C"/>
    <w:rsid w:val="003B05C3"/>
    <w:rsid w:val="003B08D3"/>
    <w:rsid w:val="003B1EF4"/>
    <w:rsid w:val="003B61A2"/>
    <w:rsid w:val="003B7AFB"/>
    <w:rsid w:val="003C0D29"/>
    <w:rsid w:val="003C4401"/>
    <w:rsid w:val="003D338B"/>
    <w:rsid w:val="003D5C82"/>
    <w:rsid w:val="003D6C2B"/>
    <w:rsid w:val="003E05B8"/>
    <w:rsid w:val="003E2372"/>
    <w:rsid w:val="003E291D"/>
    <w:rsid w:val="003E3752"/>
    <w:rsid w:val="003E39DD"/>
    <w:rsid w:val="003E3F35"/>
    <w:rsid w:val="003E5C5C"/>
    <w:rsid w:val="003E6C69"/>
    <w:rsid w:val="003F0D01"/>
    <w:rsid w:val="003F14EA"/>
    <w:rsid w:val="003F154D"/>
    <w:rsid w:val="00402B60"/>
    <w:rsid w:val="004031A7"/>
    <w:rsid w:val="00405B9E"/>
    <w:rsid w:val="004114D6"/>
    <w:rsid w:val="004214AE"/>
    <w:rsid w:val="004244A8"/>
    <w:rsid w:val="0042608F"/>
    <w:rsid w:val="00431B6B"/>
    <w:rsid w:val="004327B9"/>
    <w:rsid w:val="00432806"/>
    <w:rsid w:val="00432815"/>
    <w:rsid w:val="0043481D"/>
    <w:rsid w:val="00436D34"/>
    <w:rsid w:val="00437174"/>
    <w:rsid w:val="00440940"/>
    <w:rsid w:val="00441248"/>
    <w:rsid w:val="004439F5"/>
    <w:rsid w:val="00443F86"/>
    <w:rsid w:val="00444F1D"/>
    <w:rsid w:val="00446553"/>
    <w:rsid w:val="004475ED"/>
    <w:rsid w:val="004512DD"/>
    <w:rsid w:val="00455C40"/>
    <w:rsid w:val="00456F2F"/>
    <w:rsid w:val="00457014"/>
    <w:rsid w:val="00461677"/>
    <w:rsid w:val="004616AA"/>
    <w:rsid w:val="004617F0"/>
    <w:rsid w:val="00465672"/>
    <w:rsid w:val="00465869"/>
    <w:rsid w:val="00465A23"/>
    <w:rsid w:val="00465F75"/>
    <w:rsid w:val="004666DB"/>
    <w:rsid w:val="00467ED8"/>
    <w:rsid w:val="00472929"/>
    <w:rsid w:val="004750DE"/>
    <w:rsid w:val="00475BA3"/>
    <w:rsid w:val="004768AB"/>
    <w:rsid w:val="00476E54"/>
    <w:rsid w:val="00480006"/>
    <w:rsid w:val="0048132B"/>
    <w:rsid w:val="00483B53"/>
    <w:rsid w:val="00486EE1"/>
    <w:rsid w:val="00492477"/>
    <w:rsid w:val="00496A86"/>
    <w:rsid w:val="00497C1D"/>
    <w:rsid w:val="004A0472"/>
    <w:rsid w:val="004A0EBA"/>
    <w:rsid w:val="004A163D"/>
    <w:rsid w:val="004A2062"/>
    <w:rsid w:val="004A2CA3"/>
    <w:rsid w:val="004A33FC"/>
    <w:rsid w:val="004A525F"/>
    <w:rsid w:val="004A5A2D"/>
    <w:rsid w:val="004A5ECE"/>
    <w:rsid w:val="004A60C0"/>
    <w:rsid w:val="004B3294"/>
    <w:rsid w:val="004B3B00"/>
    <w:rsid w:val="004B56E7"/>
    <w:rsid w:val="004B6F18"/>
    <w:rsid w:val="004C0E42"/>
    <w:rsid w:val="004C0ED2"/>
    <w:rsid w:val="004C18A0"/>
    <w:rsid w:val="004C470D"/>
    <w:rsid w:val="004C7FB2"/>
    <w:rsid w:val="004D5A7F"/>
    <w:rsid w:val="004D65B5"/>
    <w:rsid w:val="004D7077"/>
    <w:rsid w:val="004E065A"/>
    <w:rsid w:val="004E17D5"/>
    <w:rsid w:val="004E1CC7"/>
    <w:rsid w:val="004E3AB4"/>
    <w:rsid w:val="004E3BDB"/>
    <w:rsid w:val="004E3FF2"/>
    <w:rsid w:val="004E4601"/>
    <w:rsid w:val="004F0A37"/>
    <w:rsid w:val="004F11AA"/>
    <w:rsid w:val="004F4362"/>
    <w:rsid w:val="004F566D"/>
    <w:rsid w:val="004F7F78"/>
    <w:rsid w:val="00501591"/>
    <w:rsid w:val="00510E05"/>
    <w:rsid w:val="00511430"/>
    <w:rsid w:val="00512007"/>
    <w:rsid w:val="00515017"/>
    <w:rsid w:val="00517958"/>
    <w:rsid w:val="00517D28"/>
    <w:rsid w:val="0052149E"/>
    <w:rsid w:val="00526F54"/>
    <w:rsid w:val="005300FC"/>
    <w:rsid w:val="005331E8"/>
    <w:rsid w:val="005350CA"/>
    <w:rsid w:val="00535800"/>
    <w:rsid w:val="0054205F"/>
    <w:rsid w:val="005425F3"/>
    <w:rsid w:val="00544109"/>
    <w:rsid w:val="0054653D"/>
    <w:rsid w:val="00547A0B"/>
    <w:rsid w:val="00551168"/>
    <w:rsid w:val="00551B4B"/>
    <w:rsid w:val="005527E6"/>
    <w:rsid w:val="00555011"/>
    <w:rsid w:val="00557568"/>
    <w:rsid w:val="00557E85"/>
    <w:rsid w:val="00564F11"/>
    <w:rsid w:val="0056619A"/>
    <w:rsid w:val="0057176E"/>
    <w:rsid w:val="00572953"/>
    <w:rsid w:val="0057297D"/>
    <w:rsid w:val="00573D03"/>
    <w:rsid w:val="00575711"/>
    <w:rsid w:val="005811B2"/>
    <w:rsid w:val="00582CF2"/>
    <w:rsid w:val="0058372E"/>
    <w:rsid w:val="005851C8"/>
    <w:rsid w:val="0058669D"/>
    <w:rsid w:val="0058673C"/>
    <w:rsid w:val="00586F0C"/>
    <w:rsid w:val="00593A8A"/>
    <w:rsid w:val="00595069"/>
    <w:rsid w:val="0059557F"/>
    <w:rsid w:val="00595A80"/>
    <w:rsid w:val="005A0142"/>
    <w:rsid w:val="005A3FC2"/>
    <w:rsid w:val="005A428B"/>
    <w:rsid w:val="005A5923"/>
    <w:rsid w:val="005B1A90"/>
    <w:rsid w:val="005B542C"/>
    <w:rsid w:val="005B597D"/>
    <w:rsid w:val="005C01DE"/>
    <w:rsid w:val="005C3F45"/>
    <w:rsid w:val="005C4CB2"/>
    <w:rsid w:val="005C535B"/>
    <w:rsid w:val="005C56C7"/>
    <w:rsid w:val="005C78EE"/>
    <w:rsid w:val="005D10C6"/>
    <w:rsid w:val="005D1693"/>
    <w:rsid w:val="005D22DD"/>
    <w:rsid w:val="005D3EA5"/>
    <w:rsid w:val="005D4B7E"/>
    <w:rsid w:val="005D51A3"/>
    <w:rsid w:val="005D59AE"/>
    <w:rsid w:val="005D7737"/>
    <w:rsid w:val="005E0264"/>
    <w:rsid w:val="005E2CEF"/>
    <w:rsid w:val="005E5FD4"/>
    <w:rsid w:val="005E62C3"/>
    <w:rsid w:val="005E6CAD"/>
    <w:rsid w:val="005F3859"/>
    <w:rsid w:val="006008DD"/>
    <w:rsid w:val="00602C07"/>
    <w:rsid w:val="0060480D"/>
    <w:rsid w:val="0060670D"/>
    <w:rsid w:val="0061515A"/>
    <w:rsid w:val="00623817"/>
    <w:rsid w:val="00623BCF"/>
    <w:rsid w:val="006265CE"/>
    <w:rsid w:val="00627233"/>
    <w:rsid w:val="00630AF5"/>
    <w:rsid w:val="006427F7"/>
    <w:rsid w:val="00643063"/>
    <w:rsid w:val="006434FA"/>
    <w:rsid w:val="0064659A"/>
    <w:rsid w:val="00647E67"/>
    <w:rsid w:val="00650346"/>
    <w:rsid w:val="00650FDA"/>
    <w:rsid w:val="00652C47"/>
    <w:rsid w:val="00663EC5"/>
    <w:rsid w:val="00665AC4"/>
    <w:rsid w:val="0066730F"/>
    <w:rsid w:val="00667B35"/>
    <w:rsid w:val="00670772"/>
    <w:rsid w:val="0067420E"/>
    <w:rsid w:val="00674B25"/>
    <w:rsid w:val="00681995"/>
    <w:rsid w:val="0068241D"/>
    <w:rsid w:val="0068541B"/>
    <w:rsid w:val="006859A2"/>
    <w:rsid w:val="00687ABF"/>
    <w:rsid w:val="006904BA"/>
    <w:rsid w:val="00690F89"/>
    <w:rsid w:val="00691686"/>
    <w:rsid w:val="00691DF5"/>
    <w:rsid w:val="00695B53"/>
    <w:rsid w:val="006A0E27"/>
    <w:rsid w:val="006A2DA7"/>
    <w:rsid w:val="006A2DDB"/>
    <w:rsid w:val="006A6A60"/>
    <w:rsid w:val="006B1D4F"/>
    <w:rsid w:val="006B2AD8"/>
    <w:rsid w:val="006B3645"/>
    <w:rsid w:val="006B46E2"/>
    <w:rsid w:val="006B55F3"/>
    <w:rsid w:val="006B61F4"/>
    <w:rsid w:val="006B6C99"/>
    <w:rsid w:val="006C02AB"/>
    <w:rsid w:val="006C2A7A"/>
    <w:rsid w:val="006C50A0"/>
    <w:rsid w:val="006C58A5"/>
    <w:rsid w:val="006C6D93"/>
    <w:rsid w:val="006C750A"/>
    <w:rsid w:val="006C7CC0"/>
    <w:rsid w:val="006C7D8B"/>
    <w:rsid w:val="006D101C"/>
    <w:rsid w:val="006D2E0F"/>
    <w:rsid w:val="006D563B"/>
    <w:rsid w:val="006D5B03"/>
    <w:rsid w:val="006D7DD9"/>
    <w:rsid w:val="006E01C3"/>
    <w:rsid w:val="006E2B21"/>
    <w:rsid w:val="006E3008"/>
    <w:rsid w:val="006E4175"/>
    <w:rsid w:val="006F5EE0"/>
    <w:rsid w:val="00702B57"/>
    <w:rsid w:val="007031E9"/>
    <w:rsid w:val="00703719"/>
    <w:rsid w:val="007069B5"/>
    <w:rsid w:val="00707181"/>
    <w:rsid w:val="00707500"/>
    <w:rsid w:val="00707B3F"/>
    <w:rsid w:val="00707FC9"/>
    <w:rsid w:val="00710520"/>
    <w:rsid w:val="00710B2C"/>
    <w:rsid w:val="007151B0"/>
    <w:rsid w:val="0071573F"/>
    <w:rsid w:val="00716B1E"/>
    <w:rsid w:val="007173B1"/>
    <w:rsid w:val="00724780"/>
    <w:rsid w:val="007248BA"/>
    <w:rsid w:val="00726606"/>
    <w:rsid w:val="00732FBD"/>
    <w:rsid w:val="00735721"/>
    <w:rsid w:val="00736203"/>
    <w:rsid w:val="007374A2"/>
    <w:rsid w:val="0073783F"/>
    <w:rsid w:val="007427AA"/>
    <w:rsid w:val="007433A3"/>
    <w:rsid w:val="00743886"/>
    <w:rsid w:val="00746D76"/>
    <w:rsid w:val="0074791E"/>
    <w:rsid w:val="00751B89"/>
    <w:rsid w:val="0075240A"/>
    <w:rsid w:val="0075271A"/>
    <w:rsid w:val="00752D5B"/>
    <w:rsid w:val="00753D6B"/>
    <w:rsid w:val="0075422C"/>
    <w:rsid w:val="00754923"/>
    <w:rsid w:val="007559AD"/>
    <w:rsid w:val="00755E3B"/>
    <w:rsid w:val="007569B5"/>
    <w:rsid w:val="00762F8D"/>
    <w:rsid w:val="00763A92"/>
    <w:rsid w:val="00764B12"/>
    <w:rsid w:val="00764E26"/>
    <w:rsid w:val="007657B8"/>
    <w:rsid w:val="00766226"/>
    <w:rsid w:val="007705B8"/>
    <w:rsid w:val="00772EA1"/>
    <w:rsid w:val="007740BB"/>
    <w:rsid w:val="007749A9"/>
    <w:rsid w:val="00775299"/>
    <w:rsid w:val="00777F85"/>
    <w:rsid w:val="00780B03"/>
    <w:rsid w:val="00783F7E"/>
    <w:rsid w:val="007857B8"/>
    <w:rsid w:val="00785FC1"/>
    <w:rsid w:val="0078720F"/>
    <w:rsid w:val="00792466"/>
    <w:rsid w:val="00792806"/>
    <w:rsid w:val="00792AB6"/>
    <w:rsid w:val="0079558F"/>
    <w:rsid w:val="007977EA"/>
    <w:rsid w:val="007A0416"/>
    <w:rsid w:val="007A0C3E"/>
    <w:rsid w:val="007A20BD"/>
    <w:rsid w:val="007A2C73"/>
    <w:rsid w:val="007A3CB7"/>
    <w:rsid w:val="007A4CCB"/>
    <w:rsid w:val="007A5C96"/>
    <w:rsid w:val="007A6681"/>
    <w:rsid w:val="007A691F"/>
    <w:rsid w:val="007B5545"/>
    <w:rsid w:val="007C2A33"/>
    <w:rsid w:val="007C331B"/>
    <w:rsid w:val="007D2EA5"/>
    <w:rsid w:val="007D4879"/>
    <w:rsid w:val="007D7B7D"/>
    <w:rsid w:val="007E01BC"/>
    <w:rsid w:val="007E490F"/>
    <w:rsid w:val="007E640D"/>
    <w:rsid w:val="007E6604"/>
    <w:rsid w:val="007F00F3"/>
    <w:rsid w:val="007F5E2A"/>
    <w:rsid w:val="007F7F91"/>
    <w:rsid w:val="00800757"/>
    <w:rsid w:val="008030C8"/>
    <w:rsid w:val="008102C4"/>
    <w:rsid w:val="00811FA7"/>
    <w:rsid w:val="008171BE"/>
    <w:rsid w:val="0081743D"/>
    <w:rsid w:val="008221BE"/>
    <w:rsid w:val="0082229E"/>
    <w:rsid w:val="00827699"/>
    <w:rsid w:val="00827C26"/>
    <w:rsid w:val="00835727"/>
    <w:rsid w:val="00836701"/>
    <w:rsid w:val="00836C2A"/>
    <w:rsid w:val="0083742B"/>
    <w:rsid w:val="00852527"/>
    <w:rsid w:val="00852C00"/>
    <w:rsid w:val="00853DDE"/>
    <w:rsid w:val="008545FE"/>
    <w:rsid w:val="008547F5"/>
    <w:rsid w:val="008614D0"/>
    <w:rsid w:val="00861C57"/>
    <w:rsid w:val="0086212B"/>
    <w:rsid w:val="00862AA9"/>
    <w:rsid w:val="0086393A"/>
    <w:rsid w:val="0086668F"/>
    <w:rsid w:val="0087037A"/>
    <w:rsid w:val="00871FAE"/>
    <w:rsid w:val="0087284B"/>
    <w:rsid w:val="008745C7"/>
    <w:rsid w:val="008749AF"/>
    <w:rsid w:val="00875981"/>
    <w:rsid w:val="0087690B"/>
    <w:rsid w:val="00877082"/>
    <w:rsid w:val="00883260"/>
    <w:rsid w:val="0088336D"/>
    <w:rsid w:val="00885709"/>
    <w:rsid w:val="00891B56"/>
    <w:rsid w:val="00893E42"/>
    <w:rsid w:val="0089402A"/>
    <w:rsid w:val="008A0099"/>
    <w:rsid w:val="008A1A46"/>
    <w:rsid w:val="008A2551"/>
    <w:rsid w:val="008A3EA0"/>
    <w:rsid w:val="008A4FFE"/>
    <w:rsid w:val="008A7491"/>
    <w:rsid w:val="008B06DB"/>
    <w:rsid w:val="008B40E6"/>
    <w:rsid w:val="008B5531"/>
    <w:rsid w:val="008B67EA"/>
    <w:rsid w:val="008C2928"/>
    <w:rsid w:val="008C46B6"/>
    <w:rsid w:val="008C4839"/>
    <w:rsid w:val="008C74EE"/>
    <w:rsid w:val="008D0AD7"/>
    <w:rsid w:val="008D2798"/>
    <w:rsid w:val="008D3FD2"/>
    <w:rsid w:val="008D5893"/>
    <w:rsid w:val="008D648C"/>
    <w:rsid w:val="008E0044"/>
    <w:rsid w:val="008E030A"/>
    <w:rsid w:val="008E0A28"/>
    <w:rsid w:val="008E1303"/>
    <w:rsid w:val="008E2490"/>
    <w:rsid w:val="008E38C9"/>
    <w:rsid w:val="008E3FC0"/>
    <w:rsid w:val="008E591F"/>
    <w:rsid w:val="008E73CA"/>
    <w:rsid w:val="008F0ACC"/>
    <w:rsid w:val="008F0CB2"/>
    <w:rsid w:val="008F7565"/>
    <w:rsid w:val="00901486"/>
    <w:rsid w:val="00902139"/>
    <w:rsid w:val="00904124"/>
    <w:rsid w:val="00906600"/>
    <w:rsid w:val="00906D38"/>
    <w:rsid w:val="009112A5"/>
    <w:rsid w:val="00912A07"/>
    <w:rsid w:val="009155BE"/>
    <w:rsid w:val="00915637"/>
    <w:rsid w:val="009169FE"/>
    <w:rsid w:val="00917F6C"/>
    <w:rsid w:val="009231E9"/>
    <w:rsid w:val="009233E9"/>
    <w:rsid w:val="00924449"/>
    <w:rsid w:val="00924AB7"/>
    <w:rsid w:val="00925325"/>
    <w:rsid w:val="00925863"/>
    <w:rsid w:val="0092713E"/>
    <w:rsid w:val="00927732"/>
    <w:rsid w:val="00927F2B"/>
    <w:rsid w:val="00936072"/>
    <w:rsid w:val="009377FC"/>
    <w:rsid w:val="009379AF"/>
    <w:rsid w:val="009444A4"/>
    <w:rsid w:val="009470E3"/>
    <w:rsid w:val="00947ECA"/>
    <w:rsid w:val="009509DD"/>
    <w:rsid w:val="0095173E"/>
    <w:rsid w:val="0095335A"/>
    <w:rsid w:val="0095433F"/>
    <w:rsid w:val="009551F9"/>
    <w:rsid w:val="009575F7"/>
    <w:rsid w:val="00957E3C"/>
    <w:rsid w:val="00962698"/>
    <w:rsid w:val="00966675"/>
    <w:rsid w:val="00967C3E"/>
    <w:rsid w:val="009703F9"/>
    <w:rsid w:val="00972C41"/>
    <w:rsid w:val="009734CD"/>
    <w:rsid w:val="00974B8D"/>
    <w:rsid w:val="009763E2"/>
    <w:rsid w:val="009777CA"/>
    <w:rsid w:val="00982AFC"/>
    <w:rsid w:val="00984FD4"/>
    <w:rsid w:val="00986DF6"/>
    <w:rsid w:val="00987247"/>
    <w:rsid w:val="0099003B"/>
    <w:rsid w:val="00991E27"/>
    <w:rsid w:val="00992334"/>
    <w:rsid w:val="0099320B"/>
    <w:rsid w:val="009934CD"/>
    <w:rsid w:val="00993B9F"/>
    <w:rsid w:val="009A272C"/>
    <w:rsid w:val="009A7958"/>
    <w:rsid w:val="009B1C9C"/>
    <w:rsid w:val="009B2B28"/>
    <w:rsid w:val="009B49C8"/>
    <w:rsid w:val="009B53F3"/>
    <w:rsid w:val="009C003C"/>
    <w:rsid w:val="009C3AB6"/>
    <w:rsid w:val="009C46B6"/>
    <w:rsid w:val="009C6B1B"/>
    <w:rsid w:val="009D0021"/>
    <w:rsid w:val="009D004F"/>
    <w:rsid w:val="009D0620"/>
    <w:rsid w:val="009D1C19"/>
    <w:rsid w:val="009D287F"/>
    <w:rsid w:val="009D4CBA"/>
    <w:rsid w:val="009D4F70"/>
    <w:rsid w:val="009D5BC3"/>
    <w:rsid w:val="009D5EFE"/>
    <w:rsid w:val="009D715D"/>
    <w:rsid w:val="009D76D6"/>
    <w:rsid w:val="009E18A7"/>
    <w:rsid w:val="009E4AB0"/>
    <w:rsid w:val="009E540B"/>
    <w:rsid w:val="009F4B5E"/>
    <w:rsid w:val="009F6D09"/>
    <w:rsid w:val="00A00522"/>
    <w:rsid w:val="00A027BB"/>
    <w:rsid w:val="00A05901"/>
    <w:rsid w:val="00A103DE"/>
    <w:rsid w:val="00A1167B"/>
    <w:rsid w:val="00A118E8"/>
    <w:rsid w:val="00A15C20"/>
    <w:rsid w:val="00A16607"/>
    <w:rsid w:val="00A20E65"/>
    <w:rsid w:val="00A21551"/>
    <w:rsid w:val="00A220B5"/>
    <w:rsid w:val="00A224BC"/>
    <w:rsid w:val="00A238D8"/>
    <w:rsid w:val="00A23A40"/>
    <w:rsid w:val="00A268A1"/>
    <w:rsid w:val="00A4494A"/>
    <w:rsid w:val="00A51EE3"/>
    <w:rsid w:val="00A55DEB"/>
    <w:rsid w:val="00A63D37"/>
    <w:rsid w:val="00A6426A"/>
    <w:rsid w:val="00A653F4"/>
    <w:rsid w:val="00A66174"/>
    <w:rsid w:val="00A76BC7"/>
    <w:rsid w:val="00A76E6B"/>
    <w:rsid w:val="00A770D9"/>
    <w:rsid w:val="00A812D9"/>
    <w:rsid w:val="00A81A03"/>
    <w:rsid w:val="00A832CB"/>
    <w:rsid w:val="00A83E2D"/>
    <w:rsid w:val="00A83F91"/>
    <w:rsid w:val="00A85B95"/>
    <w:rsid w:val="00A86AE0"/>
    <w:rsid w:val="00A86D46"/>
    <w:rsid w:val="00A872E5"/>
    <w:rsid w:val="00A8758B"/>
    <w:rsid w:val="00A92B51"/>
    <w:rsid w:val="00A93DC6"/>
    <w:rsid w:val="00A94A9D"/>
    <w:rsid w:val="00A94BB9"/>
    <w:rsid w:val="00AA3E03"/>
    <w:rsid w:val="00AA61FF"/>
    <w:rsid w:val="00AA6831"/>
    <w:rsid w:val="00AB1244"/>
    <w:rsid w:val="00AB549D"/>
    <w:rsid w:val="00AB7B27"/>
    <w:rsid w:val="00AC4A9D"/>
    <w:rsid w:val="00AC688A"/>
    <w:rsid w:val="00AD22E1"/>
    <w:rsid w:val="00AD5014"/>
    <w:rsid w:val="00AD7D7F"/>
    <w:rsid w:val="00AE1103"/>
    <w:rsid w:val="00AE35F0"/>
    <w:rsid w:val="00AE4978"/>
    <w:rsid w:val="00AE531D"/>
    <w:rsid w:val="00AE6163"/>
    <w:rsid w:val="00AE6492"/>
    <w:rsid w:val="00AE78AE"/>
    <w:rsid w:val="00AE7D7A"/>
    <w:rsid w:val="00AF26D6"/>
    <w:rsid w:val="00AF417D"/>
    <w:rsid w:val="00B01F36"/>
    <w:rsid w:val="00B042F0"/>
    <w:rsid w:val="00B05B96"/>
    <w:rsid w:val="00B06E98"/>
    <w:rsid w:val="00B07AB4"/>
    <w:rsid w:val="00B10530"/>
    <w:rsid w:val="00B10897"/>
    <w:rsid w:val="00B12927"/>
    <w:rsid w:val="00B15CD6"/>
    <w:rsid w:val="00B15EB0"/>
    <w:rsid w:val="00B15FCC"/>
    <w:rsid w:val="00B20523"/>
    <w:rsid w:val="00B21976"/>
    <w:rsid w:val="00B23D9D"/>
    <w:rsid w:val="00B25364"/>
    <w:rsid w:val="00B324E5"/>
    <w:rsid w:val="00B32C57"/>
    <w:rsid w:val="00B33F2C"/>
    <w:rsid w:val="00B408EA"/>
    <w:rsid w:val="00B41316"/>
    <w:rsid w:val="00B4545A"/>
    <w:rsid w:val="00B45C26"/>
    <w:rsid w:val="00B50987"/>
    <w:rsid w:val="00B52295"/>
    <w:rsid w:val="00B52B5F"/>
    <w:rsid w:val="00B56164"/>
    <w:rsid w:val="00B56788"/>
    <w:rsid w:val="00B56792"/>
    <w:rsid w:val="00B56DD5"/>
    <w:rsid w:val="00B641C5"/>
    <w:rsid w:val="00B64240"/>
    <w:rsid w:val="00B64749"/>
    <w:rsid w:val="00B64F0E"/>
    <w:rsid w:val="00B658D3"/>
    <w:rsid w:val="00B659F9"/>
    <w:rsid w:val="00B70E5D"/>
    <w:rsid w:val="00B801CD"/>
    <w:rsid w:val="00B814E8"/>
    <w:rsid w:val="00B817C3"/>
    <w:rsid w:val="00B822E6"/>
    <w:rsid w:val="00B865B6"/>
    <w:rsid w:val="00B91AD5"/>
    <w:rsid w:val="00B95FA0"/>
    <w:rsid w:val="00B97759"/>
    <w:rsid w:val="00BA1E9A"/>
    <w:rsid w:val="00BA5D29"/>
    <w:rsid w:val="00BA6C05"/>
    <w:rsid w:val="00BA6F22"/>
    <w:rsid w:val="00BA7823"/>
    <w:rsid w:val="00BA7B01"/>
    <w:rsid w:val="00BB0659"/>
    <w:rsid w:val="00BB1677"/>
    <w:rsid w:val="00BB2205"/>
    <w:rsid w:val="00BB664E"/>
    <w:rsid w:val="00BC293E"/>
    <w:rsid w:val="00BC5A9E"/>
    <w:rsid w:val="00BC62FB"/>
    <w:rsid w:val="00BD008B"/>
    <w:rsid w:val="00BD2EC3"/>
    <w:rsid w:val="00BD597D"/>
    <w:rsid w:val="00BD6692"/>
    <w:rsid w:val="00BD6FA4"/>
    <w:rsid w:val="00BE1611"/>
    <w:rsid w:val="00BE3836"/>
    <w:rsid w:val="00BE477E"/>
    <w:rsid w:val="00BE6950"/>
    <w:rsid w:val="00BE6D8C"/>
    <w:rsid w:val="00BE75DB"/>
    <w:rsid w:val="00BF0283"/>
    <w:rsid w:val="00BF172D"/>
    <w:rsid w:val="00BF3ADA"/>
    <w:rsid w:val="00BF48FC"/>
    <w:rsid w:val="00BF6177"/>
    <w:rsid w:val="00BF768E"/>
    <w:rsid w:val="00BF7995"/>
    <w:rsid w:val="00C0078F"/>
    <w:rsid w:val="00C013A7"/>
    <w:rsid w:val="00C0444C"/>
    <w:rsid w:val="00C05756"/>
    <w:rsid w:val="00C0757A"/>
    <w:rsid w:val="00C109C5"/>
    <w:rsid w:val="00C111E1"/>
    <w:rsid w:val="00C11C77"/>
    <w:rsid w:val="00C1354C"/>
    <w:rsid w:val="00C13EED"/>
    <w:rsid w:val="00C276BC"/>
    <w:rsid w:val="00C32558"/>
    <w:rsid w:val="00C32A59"/>
    <w:rsid w:val="00C33050"/>
    <w:rsid w:val="00C347ED"/>
    <w:rsid w:val="00C3533E"/>
    <w:rsid w:val="00C369AA"/>
    <w:rsid w:val="00C36E70"/>
    <w:rsid w:val="00C40134"/>
    <w:rsid w:val="00C40631"/>
    <w:rsid w:val="00C406F1"/>
    <w:rsid w:val="00C40F0A"/>
    <w:rsid w:val="00C41696"/>
    <w:rsid w:val="00C42682"/>
    <w:rsid w:val="00C45683"/>
    <w:rsid w:val="00C45FB3"/>
    <w:rsid w:val="00C466CA"/>
    <w:rsid w:val="00C46923"/>
    <w:rsid w:val="00C50A4C"/>
    <w:rsid w:val="00C51F1E"/>
    <w:rsid w:val="00C52B95"/>
    <w:rsid w:val="00C5341B"/>
    <w:rsid w:val="00C53673"/>
    <w:rsid w:val="00C53694"/>
    <w:rsid w:val="00C549C1"/>
    <w:rsid w:val="00C54B5C"/>
    <w:rsid w:val="00C61929"/>
    <w:rsid w:val="00C63A74"/>
    <w:rsid w:val="00C65B9D"/>
    <w:rsid w:val="00C670EA"/>
    <w:rsid w:val="00C67716"/>
    <w:rsid w:val="00C67EAB"/>
    <w:rsid w:val="00C70B23"/>
    <w:rsid w:val="00C756C9"/>
    <w:rsid w:val="00C77E5D"/>
    <w:rsid w:val="00C91576"/>
    <w:rsid w:val="00C918C4"/>
    <w:rsid w:val="00C93A4D"/>
    <w:rsid w:val="00CA1097"/>
    <w:rsid w:val="00CA364E"/>
    <w:rsid w:val="00CA4064"/>
    <w:rsid w:val="00CA4FDF"/>
    <w:rsid w:val="00CA6473"/>
    <w:rsid w:val="00CA7A5F"/>
    <w:rsid w:val="00CA7A85"/>
    <w:rsid w:val="00CB0F82"/>
    <w:rsid w:val="00CB22EB"/>
    <w:rsid w:val="00CB4C3A"/>
    <w:rsid w:val="00CB529A"/>
    <w:rsid w:val="00CB62DC"/>
    <w:rsid w:val="00CC0D42"/>
    <w:rsid w:val="00CC4775"/>
    <w:rsid w:val="00CC575B"/>
    <w:rsid w:val="00CD2966"/>
    <w:rsid w:val="00CD6845"/>
    <w:rsid w:val="00CD70D9"/>
    <w:rsid w:val="00CD7207"/>
    <w:rsid w:val="00CE05F0"/>
    <w:rsid w:val="00CE307E"/>
    <w:rsid w:val="00CE31A1"/>
    <w:rsid w:val="00CF1E29"/>
    <w:rsid w:val="00CF2479"/>
    <w:rsid w:val="00CF3B30"/>
    <w:rsid w:val="00CF4B20"/>
    <w:rsid w:val="00CF6AF6"/>
    <w:rsid w:val="00CF7876"/>
    <w:rsid w:val="00D00752"/>
    <w:rsid w:val="00D01537"/>
    <w:rsid w:val="00D03CA2"/>
    <w:rsid w:val="00D04E49"/>
    <w:rsid w:val="00D06AB0"/>
    <w:rsid w:val="00D12992"/>
    <w:rsid w:val="00D12E93"/>
    <w:rsid w:val="00D15A1C"/>
    <w:rsid w:val="00D169E7"/>
    <w:rsid w:val="00D2037E"/>
    <w:rsid w:val="00D207C1"/>
    <w:rsid w:val="00D20AAC"/>
    <w:rsid w:val="00D217AA"/>
    <w:rsid w:val="00D24BF4"/>
    <w:rsid w:val="00D2593D"/>
    <w:rsid w:val="00D35474"/>
    <w:rsid w:val="00D36AF6"/>
    <w:rsid w:val="00D404CA"/>
    <w:rsid w:val="00D4370A"/>
    <w:rsid w:val="00D44BBF"/>
    <w:rsid w:val="00D452D0"/>
    <w:rsid w:val="00D53FDF"/>
    <w:rsid w:val="00D542F1"/>
    <w:rsid w:val="00D542F7"/>
    <w:rsid w:val="00D55D08"/>
    <w:rsid w:val="00D57826"/>
    <w:rsid w:val="00D60736"/>
    <w:rsid w:val="00D623C8"/>
    <w:rsid w:val="00D6355A"/>
    <w:rsid w:val="00D64E5E"/>
    <w:rsid w:val="00D666AF"/>
    <w:rsid w:val="00D70C5C"/>
    <w:rsid w:val="00D75BB9"/>
    <w:rsid w:val="00D766B0"/>
    <w:rsid w:val="00D8406C"/>
    <w:rsid w:val="00D864F6"/>
    <w:rsid w:val="00D87288"/>
    <w:rsid w:val="00D91699"/>
    <w:rsid w:val="00D91C21"/>
    <w:rsid w:val="00D920F7"/>
    <w:rsid w:val="00D92AAF"/>
    <w:rsid w:val="00D93129"/>
    <w:rsid w:val="00D951A6"/>
    <w:rsid w:val="00DA0FF0"/>
    <w:rsid w:val="00DA1599"/>
    <w:rsid w:val="00DA23D8"/>
    <w:rsid w:val="00DB043F"/>
    <w:rsid w:val="00DB0E5A"/>
    <w:rsid w:val="00DB1E25"/>
    <w:rsid w:val="00DB44BD"/>
    <w:rsid w:val="00DB5CF4"/>
    <w:rsid w:val="00DC0C4E"/>
    <w:rsid w:val="00DC2008"/>
    <w:rsid w:val="00DC735E"/>
    <w:rsid w:val="00DD0235"/>
    <w:rsid w:val="00DD0FC8"/>
    <w:rsid w:val="00DD2037"/>
    <w:rsid w:val="00DD2972"/>
    <w:rsid w:val="00DD53C8"/>
    <w:rsid w:val="00DD6D08"/>
    <w:rsid w:val="00DD7773"/>
    <w:rsid w:val="00DE2488"/>
    <w:rsid w:val="00DE4E12"/>
    <w:rsid w:val="00DE528B"/>
    <w:rsid w:val="00DE6474"/>
    <w:rsid w:val="00DE6625"/>
    <w:rsid w:val="00DF1335"/>
    <w:rsid w:val="00DF6CF4"/>
    <w:rsid w:val="00E02142"/>
    <w:rsid w:val="00E048CF"/>
    <w:rsid w:val="00E071E4"/>
    <w:rsid w:val="00E12776"/>
    <w:rsid w:val="00E143B1"/>
    <w:rsid w:val="00E17218"/>
    <w:rsid w:val="00E22E25"/>
    <w:rsid w:val="00E24124"/>
    <w:rsid w:val="00E24DA9"/>
    <w:rsid w:val="00E27F37"/>
    <w:rsid w:val="00E344C1"/>
    <w:rsid w:val="00E354A8"/>
    <w:rsid w:val="00E37E33"/>
    <w:rsid w:val="00E417E1"/>
    <w:rsid w:val="00E42199"/>
    <w:rsid w:val="00E423E1"/>
    <w:rsid w:val="00E42A7B"/>
    <w:rsid w:val="00E44D6B"/>
    <w:rsid w:val="00E478B8"/>
    <w:rsid w:val="00E54150"/>
    <w:rsid w:val="00E55C5E"/>
    <w:rsid w:val="00E61E57"/>
    <w:rsid w:val="00E62142"/>
    <w:rsid w:val="00E62F66"/>
    <w:rsid w:val="00E632A9"/>
    <w:rsid w:val="00E64AE5"/>
    <w:rsid w:val="00E64F83"/>
    <w:rsid w:val="00E65D74"/>
    <w:rsid w:val="00E6615D"/>
    <w:rsid w:val="00E70BD2"/>
    <w:rsid w:val="00E72867"/>
    <w:rsid w:val="00E75E2D"/>
    <w:rsid w:val="00E811EE"/>
    <w:rsid w:val="00E82FA4"/>
    <w:rsid w:val="00E839C9"/>
    <w:rsid w:val="00E85F2B"/>
    <w:rsid w:val="00E86752"/>
    <w:rsid w:val="00E9054A"/>
    <w:rsid w:val="00E9077C"/>
    <w:rsid w:val="00E91086"/>
    <w:rsid w:val="00E91535"/>
    <w:rsid w:val="00E92876"/>
    <w:rsid w:val="00EA0770"/>
    <w:rsid w:val="00EA18DB"/>
    <w:rsid w:val="00EA3E4F"/>
    <w:rsid w:val="00EB3F97"/>
    <w:rsid w:val="00EB43D8"/>
    <w:rsid w:val="00EB6296"/>
    <w:rsid w:val="00EB7ED6"/>
    <w:rsid w:val="00EC1E6D"/>
    <w:rsid w:val="00EC1F35"/>
    <w:rsid w:val="00EC2974"/>
    <w:rsid w:val="00EC541F"/>
    <w:rsid w:val="00EC6574"/>
    <w:rsid w:val="00EC7D5E"/>
    <w:rsid w:val="00ED1E4B"/>
    <w:rsid w:val="00ED72D1"/>
    <w:rsid w:val="00ED72D6"/>
    <w:rsid w:val="00ED771B"/>
    <w:rsid w:val="00EE32F1"/>
    <w:rsid w:val="00EE6220"/>
    <w:rsid w:val="00EF0952"/>
    <w:rsid w:val="00EF7831"/>
    <w:rsid w:val="00EF7E4D"/>
    <w:rsid w:val="00F02804"/>
    <w:rsid w:val="00F02DB0"/>
    <w:rsid w:val="00F03965"/>
    <w:rsid w:val="00F0412D"/>
    <w:rsid w:val="00F05701"/>
    <w:rsid w:val="00F06154"/>
    <w:rsid w:val="00F11C95"/>
    <w:rsid w:val="00F13052"/>
    <w:rsid w:val="00F15198"/>
    <w:rsid w:val="00F20B3C"/>
    <w:rsid w:val="00F20BCD"/>
    <w:rsid w:val="00F21022"/>
    <w:rsid w:val="00F216E1"/>
    <w:rsid w:val="00F23CF1"/>
    <w:rsid w:val="00F27170"/>
    <w:rsid w:val="00F32D43"/>
    <w:rsid w:val="00F40864"/>
    <w:rsid w:val="00F418D6"/>
    <w:rsid w:val="00F43305"/>
    <w:rsid w:val="00F442D9"/>
    <w:rsid w:val="00F449BF"/>
    <w:rsid w:val="00F44F48"/>
    <w:rsid w:val="00F5235D"/>
    <w:rsid w:val="00F525AF"/>
    <w:rsid w:val="00F55255"/>
    <w:rsid w:val="00F5737C"/>
    <w:rsid w:val="00F57888"/>
    <w:rsid w:val="00F61C0D"/>
    <w:rsid w:val="00F657B1"/>
    <w:rsid w:val="00F65EE4"/>
    <w:rsid w:val="00F66BA7"/>
    <w:rsid w:val="00F67295"/>
    <w:rsid w:val="00F67D4B"/>
    <w:rsid w:val="00F70400"/>
    <w:rsid w:val="00F72741"/>
    <w:rsid w:val="00F7501E"/>
    <w:rsid w:val="00F75C82"/>
    <w:rsid w:val="00F77326"/>
    <w:rsid w:val="00F77862"/>
    <w:rsid w:val="00F80533"/>
    <w:rsid w:val="00F8199D"/>
    <w:rsid w:val="00F81C49"/>
    <w:rsid w:val="00F8210B"/>
    <w:rsid w:val="00F835F7"/>
    <w:rsid w:val="00F83827"/>
    <w:rsid w:val="00F83B3C"/>
    <w:rsid w:val="00F845CE"/>
    <w:rsid w:val="00F9127D"/>
    <w:rsid w:val="00F91C96"/>
    <w:rsid w:val="00F92608"/>
    <w:rsid w:val="00F92BFA"/>
    <w:rsid w:val="00F9300A"/>
    <w:rsid w:val="00F93C79"/>
    <w:rsid w:val="00F97405"/>
    <w:rsid w:val="00FA11B2"/>
    <w:rsid w:val="00FA1D33"/>
    <w:rsid w:val="00FA2706"/>
    <w:rsid w:val="00FA4031"/>
    <w:rsid w:val="00FA41ED"/>
    <w:rsid w:val="00FA5F24"/>
    <w:rsid w:val="00FA611E"/>
    <w:rsid w:val="00FA64A0"/>
    <w:rsid w:val="00FB1F69"/>
    <w:rsid w:val="00FB25E9"/>
    <w:rsid w:val="00FB6A06"/>
    <w:rsid w:val="00FC2F8B"/>
    <w:rsid w:val="00FC308C"/>
    <w:rsid w:val="00FC3795"/>
    <w:rsid w:val="00FC6BEC"/>
    <w:rsid w:val="00FD12F1"/>
    <w:rsid w:val="00FD2628"/>
    <w:rsid w:val="00FD28A6"/>
    <w:rsid w:val="00FD2952"/>
    <w:rsid w:val="00FD2AD5"/>
    <w:rsid w:val="00FD3BF8"/>
    <w:rsid w:val="00FD3CB2"/>
    <w:rsid w:val="00FD4918"/>
    <w:rsid w:val="00FE1657"/>
    <w:rsid w:val="00FE22BB"/>
    <w:rsid w:val="00FE3268"/>
    <w:rsid w:val="00FE396B"/>
    <w:rsid w:val="00FE44AD"/>
    <w:rsid w:val="00FE4D25"/>
    <w:rsid w:val="00FE6C04"/>
    <w:rsid w:val="00FE7673"/>
    <w:rsid w:val="00FF0B53"/>
    <w:rsid w:val="00FF3AD5"/>
    <w:rsid w:val="00FF405C"/>
    <w:rsid w:val="00FF4C07"/>
    <w:rsid w:val="00FF5703"/>
    <w:rsid w:val="00FF636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695D56"/>
  <w15:docId w15:val="{30124EEA-7915-422E-8E3C-0A463F09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492477"/>
    <w:pPr>
      <w:spacing w:after="0" w:line="240" w:lineRule="auto"/>
    </w:pPr>
    <w:rPr>
      <w:rFonts w:eastAsiaTheme="minorEastAsia"/>
      <w:szCs w:val="28"/>
      <w:lang w:val="en-GB"/>
    </w:rPr>
  </w:style>
  <w:style w:type="paragraph" w:styleId="Heading1">
    <w:name w:val="heading 1"/>
    <w:basedOn w:val="Normal"/>
    <w:next w:val="BodyText"/>
    <w:qFormat/>
    <w:rsid w:val="005E2CEF"/>
    <w:pPr>
      <w:keepNext/>
      <w:numPr>
        <w:numId w:val="32"/>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link w:val="Heading2Char"/>
    <w:qFormat/>
    <w:rsid w:val="005E2CEF"/>
    <w:pPr>
      <w:keepNext/>
      <w:numPr>
        <w:ilvl w:val="1"/>
        <w:numId w:val="32"/>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qFormat/>
    <w:rsid w:val="005E2CEF"/>
    <w:pPr>
      <w:numPr>
        <w:ilvl w:val="2"/>
        <w:numId w:val="32"/>
      </w:numPr>
      <w:spacing w:after="180" w:line="260" w:lineRule="atLeast"/>
      <w:outlineLvl w:val="2"/>
    </w:pPr>
  </w:style>
  <w:style w:type="paragraph" w:styleId="Heading4">
    <w:name w:val="heading 4"/>
    <w:basedOn w:val="Normal"/>
    <w:qFormat/>
    <w:rsid w:val="005E2CEF"/>
    <w:pPr>
      <w:numPr>
        <w:ilvl w:val="3"/>
        <w:numId w:val="32"/>
      </w:numPr>
      <w:spacing w:after="180" w:line="260" w:lineRule="atLeast"/>
      <w:outlineLvl w:val="3"/>
    </w:pPr>
  </w:style>
  <w:style w:type="paragraph" w:styleId="Heading5">
    <w:name w:val="heading 5"/>
    <w:basedOn w:val="Normal"/>
    <w:qFormat/>
    <w:rsid w:val="005E2CEF"/>
    <w:pPr>
      <w:numPr>
        <w:ilvl w:val="4"/>
        <w:numId w:val="32"/>
      </w:numPr>
      <w:spacing w:after="180" w:line="260" w:lineRule="atLeast"/>
      <w:outlineLvl w:val="4"/>
    </w:pPr>
  </w:style>
  <w:style w:type="paragraph" w:styleId="Heading6">
    <w:name w:val="heading 6"/>
    <w:basedOn w:val="Normal"/>
    <w:qFormat/>
    <w:rsid w:val="005E2CEF"/>
    <w:pPr>
      <w:numPr>
        <w:ilvl w:val="5"/>
        <w:numId w:val="32"/>
      </w:numPr>
      <w:spacing w:after="180" w:line="260" w:lineRule="atLeast"/>
      <w:outlineLvl w:val="5"/>
    </w:pPr>
  </w:style>
  <w:style w:type="paragraph" w:styleId="Heading7">
    <w:name w:val="heading 7"/>
    <w:basedOn w:val="Normal"/>
    <w:link w:val="Heading7Char"/>
    <w:qFormat/>
    <w:rsid w:val="00492477"/>
    <w:pPr>
      <w:numPr>
        <w:ilvl w:val="6"/>
        <w:numId w:val="32"/>
      </w:numPr>
      <w:spacing w:after="180" w:line="260" w:lineRule="atLeast"/>
      <w:outlineLvl w:val="6"/>
    </w:pPr>
  </w:style>
  <w:style w:type="paragraph" w:styleId="Heading8">
    <w:name w:val="heading 8"/>
    <w:basedOn w:val="Normal"/>
    <w:next w:val="Normal"/>
    <w:link w:val="Heading8Char"/>
    <w:qFormat/>
    <w:rsid w:val="00480006"/>
    <w:pPr>
      <w:spacing w:after="180"/>
      <w:jc w:val="both"/>
      <w:outlineLvl w:val="7"/>
    </w:pPr>
    <w:rPr>
      <w:rFonts w:ascii="Times New Roman" w:eastAsia="MS Mincho" w:hAnsi="Times New Roman" w:cs="Times New Roman"/>
      <w:color w:val="5F5F5F" w:themeColor="text1"/>
      <w:szCs w:val="22"/>
      <w:lang w:eastAsia="en-US"/>
    </w:rPr>
  </w:style>
  <w:style w:type="paragraph" w:styleId="Heading9">
    <w:name w:val="heading 9"/>
    <w:basedOn w:val="Normal"/>
    <w:next w:val="wText"/>
    <w:link w:val="Heading9Char"/>
    <w:qFormat/>
    <w:rsid w:val="00480006"/>
    <w:pPr>
      <w:spacing w:after="180"/>
      <w:jc w:val="both"/>
      <w:outlineLvl w:val="8"/>
    </w:pPr>
    <w:rPr>
      <w:rFonts w:ascii="Times New Roman" w:eastAsia="MS Mincho" w:hAnsi="Times New Roman" w:cs="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5B597D"/>
    <w:pPr>
      <w:spacing w:after="0" w:line="240" w:lineRule="auto"/>
    </w:pPr>
    <w:rPr>
      <w:bCs/>
      <w:noProof/>
      <w:sz w:val="16"/>
    </w:rPr>
  </w:style>
  <w:style w:type="paragraph" w:customStyle="1" w:styleId="BMKCities">
    <w:name w:val="BMK Cities"/>
    <w:semiHidden/>
    <w:rsid w:val="007069B5"/>
    <w:pPr>
      <w:spacing w:before="30"/>
    </w:pPr>
    <w:rPr>
      <w:noProof/>
      <w:spacing w:val="2"/>
      <w:sz w:val="11"/>
      <w:szCs w:val="11"/>
    </w:rPr>
  </w:style>
  <w:style w:type="paragraph" w:customStyle="1" w:styleId="BMKDeliveryPhrase">
    <w:name w:val="BMK Delivery Phrase"/>
    <w:basedOn w:val="BMKAddressInfo"/>
    <w:semiHidden/>
    <w:rsid w:val="00746D76"/>
    <w:pPr>
      <w:framePr w:w="2943" w:h="1734" w:hRule="exact" w:wrap="around" w:vAnchor="text" w:hAnchor="page" w:x="8533" w:y="208"/>
      <w:ind w:left="57"/>
    </w:pPr>
    <w:rPr>
      <w:b/>
    </w:rPr>
  </w:style>
  <w:style w:type="paragraph" w:customStyle="1" w:styleId="BMKLegalNoticePhrase">
    <w:name w:val="BMK Legal Notice Phrase"/>
    <w:basedOn w:val="Normal"/>
    <w:semiHidden/>
    <w:rsid w:val="007069B5"/>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5B597D"/>
    <w:rPr>
      <w:b/>
    </w:rPr>
  </w:style>
  <w:style w:type="paragraph" w:customStyle="1" w:styleId="BMKRegions">
    <w:name w:val="BMK Regions"/>
    <w:basedOn w:val="BMKCities"/>
    <w:next w:val="BMKCities"/>
    <w:semiHidden/>
    <w:rsid w:val="00746D76"/>
    <w:pPr>
      <w:spacing w:before="0"/>
    </w:pPr>
    <w:rPr>
      <w:rFonts w:ascii="Arial Black" w:hAnsi="Arial Black"/>
      <w:szCs w:val="24"/>
    </w:rPr>
  </w:style>
  <w:style w:type="paragraph" w:customStyle="1" w:styleId="BMKMultiOffice">
    <w:name w:val="BMK Multi Office"/>
    <w:basedOn w:val="BMKRegions"/>
    <w:next w:val="Normal"/>
    <w:semiHidden/>
    <w:rsid w:val="00746D76"/>
  </w:style>
  <w:style w:type="paragraph" w:customStyle="1" w:styleId="BMKMultiOfficeAddress">
    <w:name w:val="BMK Multi Office Address"/>
    <w:basedOn w:val="BMKCities"/>
    <w:semiHidden/>
    <w:rsid w:val="00746D76"/>
  </w:style>
  <w:style w:type="paragraph" w:customStyle="1" w:styleId="BMKPartnerList">
    <w:name w:val="BMK Partner List"/>
    <w:basedOn w:val="BMKCities"/>
    <w:semiHidden/>
    <w:rsid w:val="00746D76"/>
    <w:pPr>
      <w:adjustRightInd w:val="0"/>
      <w:snapToGrid w:val="0"/>
      <w:spacing w:before="0" w:after="20"/>
    </w:pPr>
    <w:rPr>
      <w:rFonts w:cs="Arial"/>
      <w:caps/>
      <w:spacing w:val="0"/>
      <w:sz w:val="9"/>
      <w:szCs w:val="12"/>
    </w:rPr>
  </w:style>
  <w:style w:type="paragraph" w:customStyle="1" w:styleId="BMKQualifier">
    <w:name w:val="BMK Qualifier"/>
    <w:semiHidden/>
    <w:rsid w:val="007069B5"/>
    <w:pPr>
      <w:spacing w:line="170" w:lineRule="atLeast"/>
    </w:pPr>
    <w:rPr>
      <w:caps/>
      <w:noProof/>
      <w:sz w:val="13"/>
      <w:szCs w:val="13"/>
    </w:rPr>
  </w:style>
  <w:style w:type="paragraph" w:customStyle="1" w:styleId="BMKRefInfo">
    <w:name w:val="BMK Ref Info"/>
    <w:basedOn w:val="BMKAddressInfo"/>
    <w:semiHidden/>
    <w:rsid w:val="00746D76"/>
    <w:pPr>
      <w:framePr w:w="2943" w:h="1734" w:hRule="exact" w:wrap="around" w:vAnchor="text" w:hAnchor="page" w:x="8533" w:y="208"/>
      <w:ind w:left="57"/>
    </w:pPr>
  </w:style>
  <w:style w:type="paragraph" w:customStyle="1" w:styleId="BMKRecipient1">
    <w:name w:val="BMK Recipient1"/>
    <w:basedOn w:val="Normal"/>
    <w:semiHidden/>
    <w:rsid w:val="00746D76"/>
    <w:pPr>
      <w:spacing w:line="260" w:lineRule="atLeast"/>
    </w:pPr>
  </w:style>
  <w:style w:type="paragraph" w:styleId="Footer">
    <w:name w:val="footer"/>
    <w:basedOn w:val="Normal"/>
    <w:link w:val="FooterChar"/>
    <w:uiPriority w:val="99"/>
    <w:rsid w:val="00F80533"/>
    <w:pPr>
      <w:tabs>
        <w:tab w:val="right" w:pos="9350"/>
      </w:tabs>
      <w:spacing w:line="200" w:lineRule="atLeast"/>
    </w:pPr>
    <w:rPr>
      <w:rFonts w:asciiTheme="majorHAnsi" w:eastAsiaTheme="majorEastAsia" w:hAnsiTheme="majorHAnsi" w:cstheme="majorHAnsi"/>
      <w:noProof/>
      <w:sz w:val="16"/>
      <w:szCs w:val="22"/>
    </w:rPr>
  </w:style>
  <w:style w:type="character" w:styleId="FootnoteReference">
    <w:name w:val="footnote reference"/>
    <w:uiPriority w:val="6"/>
    <w:semiHidden/>
    <w:rsid w:val="00746D76"/>
    <w:rPr>
      <w:vertAlign w:val="superscript"/>
    </w:rPr>
  </w:style>
  <w:style w:type="paragraph" w:styleId="Header">
    <w:name w:val="header"/>
    <w:basedOn w:val="Normal"/>
    <w:link w:val="HeaderChar"/>
    <w:uiPriority w:val="99"/>
    <w:rsid w:val="00746D76"/>
  </w:style>
  <w:style w:type="paragraph" w:styleId="ListNumber">
    <w:name w:val="List Number"/>
    <w:basedOn w:val="Normal"/>
    <w:uiPriority w:val="7"/>
    <w:qFormat/>
    <w:rsid w:val="0029373F"/>
    <w:pPr>
      <w:numPr>
        <w:numId w:val="4"/>
      </w:numPr>
      <w:spacing w:after="180" w:line="260" w:lineRule="atLeast"/>
    </w:pPr>
  </w:style>
  <w:style w:type="paragraph" w:styleId="FootnoteText">
    <w:name w:val="footnote text"/>
    <w:basedOn w:val="Normal"/>
    <w:uiPriority w:val="6"/>
    <w:semiHidden/>
    <w:rsid w:val="00746D76"/>
    <w:rPr>
      <w:sz w:val="18"/>
      <w:szCs w:val="20"/>
    </w:rPr>
  </w:style>
  <w:style w:type="paragraph" w:customStyle="1" w:styleId="Bullet1">
    <w:name w:val="Bullet 1"/>
    <w:basedOn w:val="Normal"/>
    <w:uiPriority w:val="8"/>
    <w:qFormat/>
    <w:rsid w:val="0029373F"/>
    <w:pPr>
      <w:numPr>
        <w:numId w:val="1"/>
      </w:numPr>
      <w:spacing w:after="180" w:line="260" w:lineRule="atLeast"/>
    </w:pPr>
  </w:style>
  <w:style w:type="paragraph" w:customStyle="1" w:styleId="BMKSubject">
    <w:name w:val="BMK Subject"/>
    <w:basedOn w:val="Normal"/>
    <w:semiHidden/>
    <w:rsid w:val="007069B5"/>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5B597D"/>
    <w:rPr>
      <w:bCs/>
      <w:noProof/>
      <w:sz w:val="16"/>
    </w:rPr>
  </w:style>
  <w:style w:type="paragraph" w:customStyle="1" w:styleId="BMKPrivacyText">
    <w:name w:val="BMK Privacy Text"/>
    <w:basedOn w:val="Footer"/>
    <w:link w:val="BMKPrivacyTextChar"/>
    <w:semiHidden/>
    <w:rsid w:val="007069B5"/>
  </w:style>
  <w:style w:type="paragraph" w:customStyle="1" w:styleId="OtherContact">
    <w:name w:val="OtherContact"/>
    <w:basedOn w:val="Normal"/>
    <w:semiHidden/>
    <w:rsid w:val="007069B5"/>
    <w:rPr>
      <w:rFonts w:asciiTheme="majorHAnsi" w:eastAsiaTheme="majorEastAsia" w:hAnsiTheme="majorHAnsi" w:cstheme="majorHAnsi"/>
      <w:sz w:val="16"/>
    </w:rPr>
  </w:style>
  <w:style w:type="paragraph" w:customStyle="1" w:styleId="Bullet2">
    <w:name w:val="Bullet 2"/>
    <w:basedOn w:val="Normal"/>
    <w:uiPriority w:val="8"/>
    <w:qFormat/>
    <w:rsid w:val="0029373F"/>
    <w:pPr>
      <w:numPr>
        <w:numId w:val="2"/>
      </w:numPr>
      <w:spacing w:line="260" w:lineRule="atLeast"/>
    </w:pPr>
  </w:style>
  <w:style w:type="character" w:customStyle="1" w:styleId="Definition">
    <w:name w:val="Definition"/>
    <w:basedOn w:val="DefaultParagraphFont"/>
    <w:uiPriority w:val="3"/>
    <w:rsid w:val="00F92608"/>
    <w:rPr>
      <w:b/>
      <w:bCs/>
      <w:i w:val="0"/>
      <w:szCs w:val="28"/>
    </w:rPr>
  </w:style>
  <w:style w:type="character" w:styleId="PageNumber">
    <w:name w:val="page number"/>
    <w:basedOn w:val="DefaultParagraphFont"/>
    <w:uiPriority w:val="99"/>
    <w:semiHidden/>
    <w:rsid w:val="00A15C20"/>
    <w:rPr>
      <w:szCs w:val="16"/>
    </w:rPr>
  </w:style>
  <w:style w:type="paragraph" w:customStyle="1" w:styleId="LetterDetail">
    <w:name w:val="LetterDetail"/>
    <w:basedOn w:val="Normal"/>
    <w:semiHidden/>
    <w:rsid w:val="00746D76"/>
    <w:pPr>
      <w:spacing w:line="260" w:lineRule="atLeast"/>
    </w:pPr>
  </w:style>
  <w:style w:type="paragraph" w:customStyle="1" w:styleId="BMKLetterCaption">
    <w:name w:val="BMK LetterCaption"/>
    <w:basedOn w:val="BMKLegalNoticePhrase"/>
    <w:next w:val="NormalSingle"/>
    <w:semiHidden/>
    <w:rsid w:val="00746D76"/>
    <w:pPr>
      <w:spacing w:before="0"/>
    </w:pPr>
  </w:style>
  <w:style w:type="paragraph" w:customStyle="1" w:styleId="BMKco-brand">
    <w:name w:val="BMK co-brand"/>
    <w:semiHidden/>
    <w:rsid w:val="007069B5"/>
    <w:pPr>
      <w:spacing w:line="170" w:lineRule="atLeast"/>
    </w:pPr>
    <w:rPr>
      <w:caps/>
      <w:sz w:val="13"/>
    </w:rPr>
  </w:style>
  <w:style w:type="character" w:customStyle="1" w:styleId="Highlight">
    <w:name w:val="Highlight"/>
    <w:semiHidden/>
    <w:rsid w:val="007069B5"/>
    <w:rPr>
      <w:rFonts w:asciiTheme="majorHAnsi" w:eastAsiaTheme="majorEastAsia" w:hAnsiTheme="majorHAnsi" w:cstheme="majorHAnsi"/>
      <w:b/>
    </w:rPr>
  </w:style>
  <w:style w:type="paragraph" w:customStyle="1" w:styleId="TableText">
    <w:name w:val="Table Text"/>
    <w:basedOn w:val="Normal"/>
    <w:uiPriority w:val="6"/>
    <w:semiHidden/>
    <w:rsid w:val="00746D76"/>
    <w:pPr>
      <w:tabs>
        <w:tab w:val="right" w:pos="9072"/>
      </w:tabs>
      <w:spacing w:after="180" w:line="260" w:lineRule="atLeast"/>
    </w:pPr>
  </w:style>
  <w:style w:type="paragraph" w:customStyle="1" w:styleId="TableHeading">
    <w:name w:val="Table Heading"/>
    <w:basedOn w:val="Normal"/>
    <w:next w:val="Normal"/>
    <w:uiPriority w:val="8"/>
    <w:semiHidden/>
    <w:rsid w:val="00BD2EC3"/>
    <w:pPr>
      <w:spacing w:before="120" w:after="120" w:line="240" w:lineRule="atLeast"/>
    </w:pPr>
    <w:rPr>
      <w:rFonts w:ascii="Arial" w:hAnsi="Arial"/>
      <w:caps/>
      <w:sz w:val="16"/>
      <w:szCs w:val="22"/>
    </w:rPr>
  </w:style>
  <w:style w:type="paragraph" w:styleId="ListNumber2">
    <w:name w:val="List Number 2"/>
    <w:basedOn w:val="Normal"/>
    <w:uiPriority w:val="7"/>
    <w:qFormat/>
    <w:rsid w:val="0029373F"/>
    <w:pPr>
      <w:numPr>
        <w:ilvl w:val="1"/>
        <w:numId w:val="4"/>
      </w:numPr>
      <w:spacing w:after="180" w:line="260" w:lineRule="atLeast"/>
    </w:pPr>
  </w:style>
  <w:style w:type="paragraph" w:styleId="ListNumber3">
    <w:name w:val="List Number 3"/>
    <w:basedOn w:val="Normal"/>
    <w:uiPriority w:val="7"/>
    <w:qFormat/>
    <w:rsid w:val="0029373F"/>
    <w:pPr>
      <w:numPr>
        <w:ilvl w:val="2"/>
        <w:numId w:val="4"/>
      </w:numPr>
      <w:spacing w:after="180" w:line="260" w:lineRule="atLeast"/>
    </w:pPr>
  </w:style>
  <w:style w:type="paragraph" w:styleId="ListNumber4">
    <w:name w:val="List Number 4"/>
    <w:basedOn w:val="Normal"/>
    <w:uiPriority w:val="7"/>
    <w:qFormat/>
    <w:rsid w:val="0029373F"/>
    <w:pPr>
      <w:numPr>
        <w:ilvl w:val="3"/>
        <w:numId w:val="4"/>
      </w:numPr>
      <w:spacing w:after="180" w:line="260" w:lineRule="atLeast"/>
    </w:pPr>
  </w:style>
  <w:style w:type="paragraph" w:styleId="BodyText">
    <w:name w:val="Body Text"/>
    <w:basedOn w:val="Normal"/>
    <w:qFormat/>
    <w:rsid w:val="00190E5F"/>
    <w:pPr>
      <w:spacing w:after="180" w:line="260" w:lineRule="atLeast"/>
    </w:pPr>
    <w:rPr>
      <w:color w:val="000000" w:themeColor="text2"/>
    </w:rPr>
  </w:style>
  <w:style w:type="paragraph" w:customStyle="1" w:styleId="NormalSingle">
    <w:name w:val="Normal Single"/>
    <w:basedOn w:val="Normal"/>
    <w:uiPriority w:val="6"/>
    <w:semiHidden/>
    <w:rsid w:val="00746D76"/>
    <w:pPr>
      <w:spacing w:line="0" w:lineRule="atLeast"/>
    </w:pPr>
  </w:style>
  <w:style w:type="character" w:styleId="Emphasis">
    <w:name w:val="Emphasis"/>
    <w:semiHidden/>
    <w:rsid w:val="00746D76"/>
    <w:rPr>
      <w:i/>
      <w:iCs/>
    </w:rPr>
  </w:style>
  <w:style w:type="character" w:customStyle="1" w:styleId="BMKMemberFirmNameChar">
    <w:name w:val="BMK Member Firm Name Char"/>
    <w:link w:val="BMKMemberFirmName"/>
    <w:semiHidden/>
    <w:rsid w:val="005B597D"/>
    <w:rPr>
      <w:rFonts w:ascii="Arial" w:eastAsiaTheme="minorEastAsia" w:hAnsi="Arial" w:cs="Times New Roman"/>
      <w:b/>
      <w:bCs/>
      <w:noProof/>
      <w:sz w:val="16"/>
    </w:rPr>
  </w:style>
  <w:style w:type="paragraph" w:customStyle="1" w:styleId="BMKDocumentNameHK">
    <w:name w:val="BMK Document Name HK"/>
    <w:basedOn w:val="Normal"/>
    <w:next w:val="BMKMemberFirmName"/>
    <w:semiHidden/>
    <w:rsid w:val="007069B5"/>
    <w:pPr>
      <w:spacing w:line="200" w:lineRule="atLeast"/>
    </w:pPr>
    <w:rPr>
      <w:rFonts w:ascii="Arial Black" w:eastAsiaTheme="majorEastAsia" w:hAnsi="Arial Black" w:cstheme="majorHAnsi"/>
      <w:noProof/>
      <w:sz w:val="18"/>
      <w:szCs w:val="32"/>
    </w:rPr>
  </w:style>
  <w:style w:type="paragraph" w:styleId="NormalWeb">
    <w:name w:val="Normal (Web)"/>
    <w:basedOn w:val="Normal"/>
    <w:uiPriority w:val="99"/>
    <w:semiHidden/>
    <w:rsid w:val="007069B5"/>
    <w:rPr>
      <w:sz w:val="24"/>
      <w:szCs w:val="24"/>
    </w:rPr>
  </w:style>
  <w:style w:type="character" w:customStyle="1" w:styleId="FooterChar">
    <w:name w:val="Footer Char"/>
    <w:link w:val="Footer"/>
    <w:uiPriority w:val="99"/>
    <w:rsid w:val="00F80533"/>
    <w:rPr>
      <w:rFonts w:asciiTheme="majorHAnsi" w:eastAsiaTheme="majorEastAsia" w:hAnsiTheme="majorHAnsi" w:cstheme="majorHAnsi"/>
      <w:noProof/>
      <w:sz w:val="16"/>
    </w:rPr>
  </w:style>
  <w:style w:type="paragraph" w:customStyle="1" w:styleId="BMKDocumentName">
    <w:name w:val="BMK Document Name"/>
    <w:basedOn w:val="Normal"/>
    <w:next w:val="Normal"/>
    <w:semiHidden/>
    <w:rsid w:val="00282861"/>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customStyle="1" w:styleId="BMKHeaderLogoSHI">
    <w:name w:val="BMKHeaderLogoSHI"/>
    <w:semiHidden/>
    <w:rsid w:val="007069B5"/>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al"/>
    <w:semiHidden/>
    <w:rsid w:val="00746D76"/>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7069B5"/>
    <w:rPr>
      <w:rFonts w:asciiTheme="majorHAnsi" w:eastAsiaTheme="majorEastAsia" w:hAnsiTheme="majorHAnsi" w:cstheme="majorHAnsi"/>
      <w:noProof/>
      <w:sz w:val="16"/>
      <w:szCs w:val="22"/>
    </w:rPr>
  </w:style>
  <w:style w:type="paragraph" w:styleId="BodyTextFirstIndent">
    <w:name w:val="Body Text First Indent"/>
    <w:basedOn w:val="BodyText"/>
    <w:uiPriority w:val="6"/>
    <w:semiHidden/>
    <w:rsid w:val="00746D76"/>
    <w:pPr>
      <w:spacing w:after="120" w:line="240" w:lineRule="auto"/>
      <w:ind w:firstLine="210"/>
    </w:pPr>
  </w:style>
  <w:style w:type="paragraph" w:customStyle="1" w:styleId="FooterIndent">
    <w:name w:val="Footer Indent"/>
    <w:basedOn w:val="Footer"/>
    <w:semiHidden/>
    <w:rsid w:val="00746D76"/>
    <w:pPr>
      <w:ind w:left="1208"/>
    </w:pPr>
  </w:style>
  <w:style w:type="paragraph" w:customStyle="1" w:styleId="BMKCitiesSpace">
    <w:name w:val="BMK Cities Space"/>
    <w:basedOn w:val="BMKCities"/>
    <w:semiHidden/>
    <w:rsid w:val="00746D76"/>
    <w:pPr>
      <w:spacing w:before="0"/>
    </w:pPr>
  </w:style>
  <w:style w:type="character" w:styleId="Hyperlink">
    <w:name w:val="Hyperlink"/>
    <w:uiPriority w:val="99"/>
    <w:rsid w:val="00746D76"/>
    <w:rPr>
      <w:color w:val="0000FF"/>
      <w:u w:val="single"/>
    </w:rPr>
  </w:style>
  <w:style w:type="paragraph" w:customStyle="1" w:styleId="BMKSalutation">
    <w:name w:val="BMK Salutation"/>
    <w:basedOn w:val="Normal"/>
    <w:semiHidden/>
    <w:rsid w:val="00746D76"/>
    <w:pPr>
      <w:spacing w:line="260" w:lineRule="atLeast"/>
    </w:pPr>
  </w:style>
  <w:style w:type="paragraph" w:customStyle="1" w:styleId="BMKDate">
    <w:name w:val="BMKDate"/>
    <w:basedOn w:val="Normal"/>
    <w:semiHidden/>
    <w:rsid w:val="00746D76"/>
    <w:pPr>
      <w:spacing w:line="260" w:lineRule="atLeast"/>
    </w:pPr>
  </w:style>
  <w:style w:type="paragraph" w:customStyle="1" w:styleId="BMKAddress1">
    <w:name w:val="BMK Address1"/>
    <w:basedOn w:val="Normal"/>
    <w:semiHidden/>
    <w:rsid w:val="00746D76"/>
    <w:pPr>
      <w:spacing w:line="260" w:lineRule="atLeast"/>
    </w:pPr>
  </w:style>
  <w:style w:type="paragraph" w:customStyle="1" w:styleId="BMKAttention">
    <w:name w:val="BMK Attention"/>
    <w:basedOn w:val="Normal"/>
    <w:semiHidden/>
    <w:rsid w:val="00746D76"/>
    <w:pPr>
      <w:spacing w:line="260" w:lineRule="atLeast"/>
    </w:pPr>
  </w:style>
  <w:style w:type="paragraph" w:customStyle="1" w:styleId="BMKSubtitle">
    <w:name w:val="BMK Subtitle"/>
    <w:basedOn w:val="Normal"/>
    <w:next w:val="BodyText"/>
    <w:semiHidden/>
    <w:rsid w:val="007069B5"/>
    <w:pPr>
      <w:spacing w:after="180" w:line="260" w:lineRule="atLeast"/>
    </w:pPr>
    <w:rPr>
      <w:rFonts w:asciiTheme="majorHAnsi" w:eastAsiaTheme="majorEastAsia" w:hAnsiTheme="majorHAnsi" w:cstheme="majorHAnsi"/>
      <w:sz w:val="32"/>
    </w:rPr>
  </w:style>
  <w:style w:type="paragraph" w:customStyle="1" w:styleId="BMKTitle">
    <w:name w:val="BMK Title"/>
    <w:basedOn w:val="Normal"/>
    <w:next w:val="BodyText"/>
    <w:semiHidden/>
    <w:rsid w:val="007069B5"/>
    <w:pPr>
      <w:spacing w:after="180" w:line="260" w:lineRule="atLeast"/>
    </w:pPr>
    <w:rPr>
      <w:rFonts w:asciiTheme="majorHAnsi" w:eastAsiaTheme="majorEastAsia" w:hAnsiTheme="majorHAnsi" w:cstheme="majorHAnsi"/>
      <w:sz w:val="48"/>
    </w:rPr>
  </w:style>
  <w:style w:type="character" w:styleId="BookTitle">
    <w:name w:val="Book Title"/>
    <w:basedOn w:val="DefaultParagraphFont"/>
    <w:uiPriority w:val="33"/>
    <w:semiHidden/>
    <w:rsid w:val="00746D76"/>
    <w:rPr>
      <w:b/>
      <w:bCs/>
      <w:smallCaps/>
      <w:spacing w:val="5"/>
    </w:rPr>
  </w:style>
  <w:style w:type="character" w:styleId="Strong">
    <w:name w:val="Strong"/>
    <w:basedOn w:val="DefaultParagraphFont"/>
    <w:semiHidden/>
    <w:rsid w:val="00746D76"/>
    <w:rPr>
      <w:b/>
      <w:bCs/>
    </w:rPr>
  </w:style>
  <w:style w:type="character" w:styleId="SubtleEmphasis">
    <w:name w:val="Subtle Emphasis"/>
    <w:basedOn w:val="DefaultParagraphFont"/>
    <w:uiPriority w:val="19"/>
    <w:semiHidden/>
    <w:rsid w:val="00746D76"/>
    <w:rPr>
      <w:i/>
      <w:iCs/>
      <w:color w:val="AFAFAF" w:themeColor="text1" w:themeTint="7F"/>
    </w:rPr>
  </w:style>
  <w:style w:type="character" w:styleId="SubtleReference">
    <w:name w:val="Subtle Reference"/>
    <w:basedOn w:val="DefaultParagraphFont"/>
    <w:uiPriority w:val="31"/>
    <w:semiHidden/>
    <w:rsid w:val="00746D76"/>
    <w:rPr>
      <w:smallCaps/>
      <w:color w:val="EBB700" w:themeColor="accent2"/>
      <w:u w:val="single"/>
    </w:rPr>
  </w:style>
  <w:style w:type="paragraph" w:styleId="NoSpacing">
    <w:name w:val="No Spacing"/>
    <w:uiPriority w:val="6"/>
    <w:semiHidden/>
    <w:rsid w:val="007069B5"/>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746D76"/>
    <w:rPr>
      <w:b/>
      <w:bCs/>
      <w:i/>
      <w:iCs/>
      <w:color w:val="A71930" w:themeColor="accent1"/>
    </w:rPr>
  </w:style>
  <w:style w:type="paragraph" w:styleId="IntenseQuote">
    <w:name w:val="Intense Quote"/>
    <w:basedOn w:val="Normal"/>
    <w:next w:val="Normal"/>
    <w:link w:val="IntenseQuoteChar"/>
    <w:uiPriority w:val="30"/>
    <w:semiHidden/>
    <w:rsid w:val="00746D76"/>
    <w:pPr>
      <w:pBdr>
        <w:bottom w:val="single" w:sz="4" w:space="4" w:color="A71930" w:themeColor="accent1"/>
      </w:pBdr>
      <w:spacing w:before="200" w:after="280"/>
      <w:ind w:left="936" w:right="936"/>
    </w:pPr>
    <w:rPr>
      <w:b/>
      <w:bCs/>
      <w:i/>
      <w:iCs/>
      <w:color w:val="A71930" w:themeColor="accent1"/>
    </w:rPr>
  </w:style>
  <w:style w:type="character" w:customStyle="1" w:styleId="IntenseQuoteChar">
    <w:name w:val="Intense Quote Char"/>
    <w:basedOn w:val="DefaultParagraphFont"/>
    <w:link w:val="IntenseQuote"/>
    <w:uiPriority w:val="30"/>
    <w:semiHidden/>
    <w:rsid w:val="00746D76"/>
    <w:rPr>
      <w:b/>
      <w:bCs/>
      <w:i/>
      <w:iCs/>
      <w:color w:val="A71930" w:themeColor="accent1"/>
      <w:sz w:val="22"/>
      <w:szCs w:val="24"/>
    </w:rPr>
  </w:style>
  <w:style w:type="paragraph" w:styleId="Quote">
    <w:name w:val="Quote"/>
    <w:basedOn w:val="Normal"/>
    <w:next w:val="Normal"/>
    <w:link w:val="QuoteChar"/>
    <w:uiPriority w:val="29"/>
    <w:semiHidden/>
    <w:rsid w:val="00746D76"/>
    <w:rPr>
      <w:i/>
      <w:iCs/>
      <w:color w:val="5F5F5F" w:themeColor="text1"/>
    </w:rPr>
  </w:style>
  <w:style w:type="character" w:customStyle="1" w:styleId="QuoteChar">
    <w:name w:val="Quote Char"/>
    <w:basedOn w:val="DefaultParagraphFont"/>
    <w:link w:val="Quote"/>
    <w:uiPriority w:val="29"/>
    <w:semiHidden/>
    <w:rsid w:val="00746D76"/>
    <w:rPr>
      <w:i/>
      <w:iCs/>
      <w:color w:val="5F5F5F" w:themeColor="text1"/>
      <w:sz w:val="22"/>
      <w:szCs w:val="24"/>
    </w:rPr>
  </w:style>
  <w:style w:type="character" w:styleId="IntenseReference">
    <w:name w:val="Intense Reference"/>
    <w:basedOn w:val="DefaultParagraphFont"/>
    <w:uiPriority w:val="32"/>
    <w:semiHidden/>
    <w:rsid w:val="00746D76"/>
    <w:rPr>
      <w:b/>
      <w:bCs/>
      <w:smallCaps/>
      <w:color w:val="EBB700" w:themeColor="accent2"/>
      <w:spacing w:val="5"/>
      <w:u w:val="single"/>
    </w:rPr>
  </w:style>
  <w:style w:type="paragraph" w:styleId="ListParagraph">
    <w:name w:val="List Paragraph"/>
    <w:basedOn w:val="Normal"/>
    <w:uiPriority w:val="34"/>
    <w:semiHidden/>
    <w:rsid w:val="00746D76"/>
    <w:pPr>
      <w:ind w:left="720"/>
      <w:contextualSpacing/>
    </w:pPr>
  </w:style>
  <w:style w:type="paragraph" w:customStyle="1" w:styleId="SubHeading">
    <w:name w:val="Sub Heading"/>
    <w:basedOn w:val="Normal"/>
    <w:next w:val="BodyText"/>
    <w:rsid w:val="00207040"/>
    <w:pPr>
      <w:keepNext/>
      <w:spacing w:after="180" w:line="260" w:lineRule="atLeast"/>
    </w:pPr>
    <w:rPr>
      <w:rFonts w:asciiTheme="majorHAnsi" w:eastAsiaTheme="majorEastAsia" w:hAnsiTheme="majorHAnsi" w:cstheme="majorHAnsi"/>
      <w:b/>
      <w:bCs/>
    </w:rPr>
  </w:style>
  <w:style w:type="paragraph" w:customStyle="1" w:styleId="Da">
    <w:name w:val="D(a)"/>
    <w:basedOn w:val="Normal"/>
    <w:uiPriority w:val="4"/>
    <w:rsid w:val="0029373F"/>
    <w:pPr>
      <w:numPr>
        <w:ilvl w:val="1"/>
        <w:numId w:val="6"/>
      </w:numPr>
      <w:spacing w:after="180" w:line="260" w:lineRule="atLeast"/>
    </w:pPr>
  </w:style>
  <w:style w:type="paragraph" w:customStyle="1" w:styleId="DA0">
    <w:name w:val="D(A)"/>
    <w:basedOn w:val="Normal"/>
    <w:uiPriority w:val="6"/>
    <w:rsid w:val="0029373F"/>
    <w:pPr>
      <w:numPr>
        <w:ilvl w:val="3"/>
        <w:numId w:val="6"/>
      </w:numPr>
      <w:spacing w:after="180" w:line="260" w:lineRule="atLeast"/>
    </w:pPr>
  </w:style>
  <w:style w:type="paragraph" w:customStyle="1" w:styleId="Di">
    <w:name w:val="D(i)"/>
    <w:basedOn w:val="Normal"/>
    <w:uiPriority w:val="5"/>
    <w:rsid w:val="0029373F"/>
    <w:pPr>
      <w:numPr>
        <w:ilvl w:val="2"/>
        <w:numId w:val="6"/>
      </w:numPr>
      <w:spacing w:after="180" w:line="260" w:lineRule="atLeast"/>
    </w:pPr>
  </w:style>
  <w:style w:type="paragraph" w:customStyle="1" w:styleId="DefinitionParagraph">
    <w:name w:val="Definition Paragraph"/>
    <w:basedOn w:val="Normal"/>
    <w:uiPriority w:val="2"/>
    <w:rsid w:val="0029373F"/>
    <w:pPr>
      <w:numPr>
        <w:numId w:val="6"/>
      </w:numPr>
      <w:spacing w:after="180" w:line="260" w:lineRule="atLeast"/>
    </w:pPr>
  </w:style>
  <w:style w:type="paragraph" w:customStyle="1" w:styleId="SchH1">
    <w:name w:val="SchH1"/>
    <w:basedOn w:val="Normal"/>
    <w:next w:val="BodyText"/>
    <w:uiPriority w:val="6"/>
    <w:rsid w:val="00CE05F0"/>
    <w:pPr>
      <w:keepNext/>
      <w:numPr>
        <w:numId w:val="33"/>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CE05F0"/>
    <w:pPr>
      <w:keepNext/>
      <w:numPr>
        <w:ilvl w:val="1"/>
        <w:numId w:val="33"/>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CE05F0"/>
    <w:pPr>
      <w:numPr>
        <w:ilvl w:val="2"/>
        <w:numId w:val="33"/>
      </w:numPr>
      <w:spacing w:after="180" w:line="260" w:lineRule="atLeast"/>
    </w:pPr>
  </w:style>
  <w:style w:type="paragraph" w:customStyle="1" w:styleId="SchH4">
    <w:name w:val="SchH4"/>
    <w:basedOn w:val="Normal"/>
    <w:uiPriority w:val="6"/>
    <w:rsid w:val="00CE05F0"/>
    <w:pPr>
      <w:numPr>
        <w:ilvl w:val="3"/>
        <w:numId w:val="33"/>
      </w:numPr>
      <w:spacing w:after="180" w:line="260" w:lineRule="atLeast"/>
    </w:pPr>
  </w:style>
  <w:style w:type="paragraph" w:customStyle="1" w:styleId="SchH5">
    <w:name w:val="SchH5"/>
    <w:basedOn w:val="Normal"/>
    <w:uiPriority w:val="6"/>
    <w:rsid w:val="00CE05F0"/>
    <w:pPr>
      <w:numPr>
        <w:ilvl w:val="4"/>
        <w:numId w:val="33"/>
      </w:numPr>
      <w:spacing w:after="180" w:line="260" w:lineRule="atLeast"/>
    </w:pPr>
  </w:style>
  <w:style w:type="paragraph" w:customStyle="1" w:styleId="SchH6">
    <w:name w:val="SchH6"/>
    <w:basedOn w:val="Normal"/>
    <w:uiPriority w:val="6"/>
    <w:rsid w:val="00CE05F0"/>
    <w:pPr>
      <w:numPr>
        <w:ilvl w:val="5"/>
        <w:numId w:val="33"/>
      </w:numPr>
      <w:spacing w:after="180" w:line="260" w:lineRule="atLeast"/>
    </w:pPr>
  </w:style>
  <w:style w:type="paragraph" w:customStyle="1" w:styleId="SchSH">
    <w:name w:val="SchSH"/>
    <w:basedOn w:val="Normal"/>
    <w:next w:val="BodyText"/>
    <w:uiPriority w:val="6"/>
    <w:rsid w:val="0029373F"/>
    <w:pPr>
      <w:keepNext/>
      <w:spacing w:after="180" w:line="260" w:lineRule="atLeast"/>
    </w:pPr>
    <w:rPr>
      <w:rFonts w:asciiTheme="majorHAnsi" w:eastAsiaTheme="majorEastAsia" w:hAnsiTheme="majorHAnsi" w:cstheme="majorHAnsi"/>
      <w:b/>
    </w:rPr>
  </w:style>
  <w:style w:type="paragraph" w:styleId="TOC1">
    <w:name w:val="toc 1"/>
    <w:basedOn w:val="Normal"/>
    <w:next w:val="Normal"/>
    <w:autoRedefine/>
    <w:uiPriority w:val="39"/>
    <w:semiHidden/>
    <w:rsid w:val="004B3B00"/>
    <w:pPr>
      <w:spacing w:before="180" w:line="260" w:lineRule="atLeast"/>
      <w:ind w:left="562" w:right="288" w:hanging="562"/>
    </w:pPr>
    <w:rPr>
      <w:rFonts w:asciiTheme="majorHAnsi" w:eastAsiaTheme="majorEastAsia" w:hAnsiTheme="majorHAnsi" w:cstheme="majorHAnsi"/>
      <w:b/>
    </w:rPr>
  </w:style>
  <w:style w:type="paragraph" w:styleId="TOC2">
    <w:name w:val="toc 2"/>
    <w:basedOn w:val="Normal"/>
    <w:next w:val="Normal"/>
    <w:autoRedefine/>
    <w:uiPriority w:val="39"/>
    <w:semiHidden/>
    <w:rsid w:val="004B3B00"/>
    <w:pPr>
      <w:spacing w:before="180" w:line="260" w:lineRule="atLeast"/>
      <w:ind w:left="1124" w:right="288" w:hanging="562"/>
    </w:pPr>
    <w:rPr>
      <w:rFonts w:asciiTheme="majorHAnsi" w:eastAsiaTheme="majorEastAsia" w:hAnsiTheme="majorHAnsi" w:cstheme="majorHAnsi"/>
      <w:b/>
    </w:rPr>
  </w:style>
  <w:style w:type="paragraph" w:styleId="TOC3">
    <w:name w:val="toc 3"/>
    <w:basedOn w:val="Normal"/>
    <w:next w:val="Normal"/>
    <w:autoRedefine/>
    <w:uiPriority w:val="39"/>
    <w:semiHidden/>
    <w:rsid w:val="004B3B00"/>
    <w:pPr>
      <w:spacing w:before="180" w:line="260" w:lineRule="atLeast"/>
      <w:ind w:left="1700" w:right="288" w:hanging="562"/>
    </w:pPr>
    <w:rPr>
      <w:rFonts w:asciiTheme="majorHAnsi" w:eastAsiaTheme="majorEastAsia" w:hAnsiTheme="majorHAnsi" w:cstheme="majorHAnsi"/>
      <w:b/>
    </w:rPr>
  </w:style>
  <w:style w:type="paragraph" w:styleId="TOC4">
    <w:name w:val="toc 4"/>
    <w:basedOn w:val="Normal"/>
    <w:next w:val="Normal"/>
    <w:autoRedefine/>
    <w:semiHidden/>
    <w:rsid w:val="007069B5"/>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rsid w:val="005E2CEF"/>
    <w:pPr>
      <w:numPr>
        <w:numId w:val="3"/>
      </w:numPr>
    </w:pPr>
  </w:style>
  <w:style w:type="numbering" w:customStyle="1" w:styleId="BMListNumbers">
    <w:name w:val="B&amp;M List Numbers"/>
    <w:uiPriority w:val="99"/>
    <w:rsid w:val="00746D76"/>
    <w:pPr>
      <w:numPr>
        <w:numId w:val="4"/>
      </w:numPr>
    </w:pPr>
  </w:style>
  <w:style w:type="numbering" w:customStyle="1" w:styleId="BMSchedules">
    <w:name w:val="B&amp;M Schedules"/>
    <w:uiPriority w:val="99"/>
    <w:rsid w:val="00CE05F0"/>
    <w:pPr>
      <w:numPr>
        <w:numId w:val="5"/>
      </w:numPr>
    </w:pPr>
  </w:style>
  <w:style w:type="numbering" w:customStyle="1" w:styleId="BMDefinitions">
    <w:name w:val="B&amp;M Definitions"/>
    <w:uiPriority w:val="99"/>
    <w:rsid w:val="00746D76"/>
    <w:pPr>
      <w:numPr>
        <w:numId w:val="6"/>
      </w:numPr>
    </w:pPr>
  </w:style>
  <w:style w:type="paragraph" w:customStyle="1" w:styleId="TOCHeading">
    <w:name w:val="TOCHeading"/>
    <w:basedOn w:val="Normal"/>
    <w:next w:val="BodyText"/>
    <w:uiPriority w:val="11"/>
    <w:semiHidden/>
    <w:rsid w:val="00BB0659"/>
    <w:pPr>
      <w:pBdr>
        <w:bottom w:val="single" w:sz="4" w:space="9" w:color="auto"/>
      </w:pBdr>
      <w:spacing w:after="180" w:line="260" w:lineRule="exact"/>
    </w:pPr>
    <w:rPr>
      <w:rFonts w:asciiTheme="majorHAnsi" w:eastAsiaTheme="majorEastAsia" w:hAnsiTheme="majorHAnsi" w:cstheme="majorHAnsi"/>
      <w:b/>
      <w:bCs/>
      <w:sz w:val="24"/>
    </w:rPr>
  </w:style>
  <w:style w:type="paragraph" w:styleId="TOC5">
    <w:name w:val="toc 5"/>
    <w:basedOn w:val="Normal"/>
    <w:next w:val="Normal"/>
    <w:autoRedefine/>
    <w:semiHidden/>
    <w:rsid w:val="00746D76"/>
    <w:pPr>
      <w:spacing w:after="100"/>
      <w:ind w:left="880"/>
    </w:pPr>
  </w:style>
  <w:style w:type="paragraph" w:styleId="TOC6">
    <w:name w:val="toc 6"/>
    <w:basedOn w:val="Normal"/>
    <w:next w:val="Normal"/>
    <w:autoRedefine/>
    <w:semiHidden/>
    <w:rsid w:val="00746D76"/>
    <w:pPr>
      <w:spacing w:after="100"/>
      <w:ind w:left="1100"/>
    </w:pPr>
  </w:style>
  <w:style w:type="paragraph" w:styleId="TOC7">
    <w:name w:val="toc 7"/>
    <w:basedOn w:val="Normal"/>
    <w:next w:val="Normal"/>
    <w:autoRedefine/>
    <w:semiHidden/>
    <w:rsid w:val="00746D76"/>
    <w:pPr>
      <w:spacing w:after="100"/>
      <w:ind w:left="1320"/>
    </w:pPr>
  </w:style>
  <w:style w:type="paragraph" w:styleId="TOC8">
    <w:name w:val="toc 8"/>
    <w:basedOn w:val="Normal"/>
    <w:next w:val="Normal"/>
    <w:autoRedefine/>
    <w:semiHidden/>
    <w:rsid w:val="00746D76"/>
    <w:pPr>
      <w:spacing w:after="100"/>
      <w:ind w:left="1540"/>
    </w:pPr>
  </w:style>
  <w:style w:type="paragraph" w:styleId="TOC9">
    <w:name w:val="toc 9"/>
    <w:basedOn w:val="Normal"/>
    <w:next w:val="Normal"/>
    <w:autoRedefine/>
    <w:semiHidden/>
    <w:rsid w:val="00746D76"/>
    <w:pPr>
      <w:spacing w:after="100"/>
      <w:ind w:left="1760"/>
    </w:pPr>
  </w:style>
  <w:style w:type="character" w:customStyle="1" w:styleId="Heading7Char">
    <w:name w:val="Heading 7 Char"/>
    <w:basedOn w:val="DefaultParagraphFont"/>
    <w:link w:val="Heading7"/>
    <w:rsid w:val="00492477"/>
    <w:rPr>
      <w:rFonts w:eastAsiaTheme="minorEastAsia"/>
      <w:szCs w:val="28"/>
    </w:rPr>
  </w:style>
  <w:style w:type="paragraph" w:customStyle="1" w:styleId="Recital">
    <w:name w:val="Recital"/>
    <w:basedOn w:val="Normal"/>
    <w:uiPriority w:val="7"/>
    <w:rsid w:val="0029373F"/>
    <w:pPr>
      <w:numPr>
        <w:numId w:val="30"/>
      </w:numPr>
      <w:spacing w:after="180" w:line="260" w:lineRule="atLeast"/>
    </w:pPr>
    <w:rPr>
      <w:rFonts w:cs="Times New Roman"/>
    </w:rPr>
  </w:style>
  <w:style w:type="character" w:customStyle="1" w:styleId="DMReference">
    <w:name w:val="DMReference"/>
    <w:basedOn w:val="FooterChar"/>
    <w:semiHidden/>
    <w:rsid w:val="00CD2966"/>
    <w:rPr>
      <w:rFonts w:asciiTheme="majorHAnsi" w:eastAsiaTheme="majorEastAsia" w:hAnsiTheme="majorHAnsi" w:cstheme="majorHAnsi"/>
      <w:noProof/>
      <w:sz w:val="16"/>
      <w:szCs w:val="16"/>
    </w:rPr>
  </w:style>
  <w:style w:type="paragraph" w:styleId="BodyTextIndent">
    <w:name w:val="Body Text Indent"/>
    <w:basedOn w:val="Normal"/>
    <w:link w:val="BodyTextIndentChar"/>
    <w:rsid w:val="00DE2488"/>
    <w:pPr>
      <w:spacing w:after="180" w:line="260" w:lineRule="exact"/>
      <w:ind w:left="709"/>
    </w:pPr>
  </w:style>
  <w:style w:type="character" w:customStyle="1" w:styleId="BodyTextIndentChar">
    <w:name w:val="Body Text Indent Char"/>
    <w:basedOn w:val="DefaultParagraphFont"/>
    <w:link w:val="BodyTextIndent"/>
    <w:rsid w:val="00DE2488"/>
    <w:rPr>
      <w:rFonts w:eastAsiaTheme="minorEastAsia"/>
      <w:szCs w:val="28"/>
    </w:rPr>
  </w:style>
  <w:style w:type="paragraph" w:customStyle="1" w:styleId="BodyTextIndent4">
    <w:name w:val="Body Text Indent 4"/>
    <w:basedOn w:val="BodyTextIndent"/>
    <w:qFormat/>
    <w:rsid w:val="00DE2488"/>
    <w:pPr>
      <w:numPr>
        <w:ilvl w:val="2"/>
      </w:numPr>
      <w:spacing w:line="260" w:lineRule="atLeast"/>
      <w:ind w:left="1418"/>
    </w:pPr>
    <w:rPr>
      <w:rFonts w:cs="Times New Roman"/>
    </w:rPr>
  </w:style>
  <w:style w:type="paragraph" w:customStyle="1" w:styleId="BodyTextIndent5">
    <w:name w:val="Body Text Indent 5"/>
    <w:basedOn w:val="BodyTextIndent4"/>
    <w:qFormat/>
    <w:rsid w:val="00DE2488"/>
    <w:pPr>
      <w:numPr>
        <w:ilvl w:val="3"/>
      </w:numPr>
      <w:ind w:left="2126"/>
    </w:pPr>
  </w:style>
  <w:style w:type="paragraph" w:customStyle="1" w:styleId="BodyTextIndent6">
    <w:name w:val="Body Text Indent 6"/>
    <w:basedOn w:val="BodyTextIndent5"/>
    <w:qFormat/>
    <w:rsid w:val="00DE2488"/>
    <w:pPr>
      <w:numPr>
        <w:ilvl w:val="4"/>
      </w:numPr>
      <w:ind w:left="2835"/>
    </w:pPr>
  </w:style>
  <w:style w:type="table" w:customStyle="1" w:styleId="TableHorizontalShadedBlue">
    <w:name w:val="Table Horizontal Shaded Blue"/>
    <w:basedOn w:val="TableNormal"/>
    <w:rsid w:val="00002665"/>
    <w:pPr>
      <w:spacing w:after="0" w:line="240" w:lineRule="auto"/>
    </w:pPr>
    <w:rPr>
      <w:rFonts w:ascii="Arial" w:eastAsia="Times New Roman" w:hAnsi="Arial" w:cs="Times New Roman"/>
      <w:sz w:val="20"/>
      <w:szCs w:val="20"/>
    </w:rPr>
    <w:tblPr>
      <w:tblInd w:w="113" w:type="dxa"/>
      <w:tblBorders>
        <w:top w:val="single" w:sz="4" w:space="0" w:color="6773B6"/>
        <w:bottom w:val="single" w:sz="4" w:space="0" w:color="6773B6"/>
        <w:insideH w:val="single" w:sz="4" w:space="0" w:color="6773B6"/>
        <w:insideV w:val="single" w:sz="4" w:space="0" w:color="6773B6"/>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6773B6"/>
      </w:tcPr>
    </w:tblStylePr>
  </w:style>
  <w:style w:type="paragraph" w:customStyle="1" w:styleId="TableCopy">
    <w:name w:val="Table Copy"/>
    <w:basedOn w:val="Normal"/>
    <w:uiPriority w:val="8"/>
    <w:semiHidden/>
    <w:rsid w:val="00BD2EC3"/>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rsid w:val="004A525F"/>
    <w:pPr>
      <w:numPr>
        <w:numId w:val="31"/>
      </w:numPr>
      <w:spacing w:before="120" w:after="60" w:line="240" w:lineRule="atLeast"/>
    </w:pPr>
    <w:rPr>
      <w:rFonts w:ascii="Arial" w:hAnsi="Arial"/>
      <w:b/>
      <w:sz w:val="20"/>
      <w:szCs w:val="26"/>
    </w:rPr>
  </w:style>
  <w:style w:type="paragraph" w:customStyle="1" w:styleId="SchH7">
    <w:name w:val="SchH7"/>
    <w:basedOn w:val="Normal"/>
    <w:uiPriority w:val="6"/>
    <w:rsid w:val="00CE05F0"/>
    <w:pPr>
      <w:numPr>
        <w:ilvl w:val="6"/>
        <w:numId w:val="33"/>
      </w:numPr>
      <w:spacing w:after="180" w:line="260" w:lineRule="atLeast"/>
    </w:pPr>
  </w:style>
  <w:style w:type="character" w:customStyle="1" w:styleId="HeaderChar">
    <w:name w:val="Header Char"/>
    <w:basedOn w:val="DefaultParagraphFont"/>
    <w:link w:val="Header"/>
    <w:uiPriority w:val="99"/>
    <w:rsid w:val="00BB1677"/>
    <w:rPr>
      <w:rFonts w:eastAsiaTheme="minorEastAsia"/>
      <w:szCs w:val="28"/>
      <w:lang w:val="en-GB"/>
    </w:rPr>
  </w:style>
  <w:style w:type="paragraph" w:styleId="BalloonText">
    <w:name w:val="Balloon Text"/>
    <w:basedOn w:val="Normal"/>
    <w:link w:val="BalloonTextChar"/>
    <w:uiPriority w:val="99"/>
    <w:semiHidden/>
    <w:unhideWhenUsed/>
    <w:rsid w:val="00D666AF"/>
    <w:rPr>
      <w:rFonts w:ascii="Tahoma" w:hAnsi="Tahoma" w:cs="Tahoma"/>
      <w:sz w:val="16"/>
      <w:szCs w:val="16"/>
    </w:rPr>
  </w:style>
  <w:style w:type="character" w:customStyle="1" w:styleId="BalloonTextChar">
    <w:name w:val="Balloon Text Char"/>
    <w:basedOn w:val="DefaultParagraphFont"/>
    <w:link w:val="BalloonText"/>
    <w:uiPriority w:val="99"/>
    <w:semiHidden/>
    <w:rsid w:val="00D666AF"/>
    <w:rPr>
      <w:rFonts w:ascii="Tahoma" w:eastAsiaTheme="minorEastAsia" w:hAnsi="Tahoma" w:cs="Tahoma"/>
      <w:sz w:val="16"/>
      <w:szCs w:val="16"/>
      <w:lang w:val="en-GB"/>
    </w:rPr>
  </w:style>
  <w:style w:type="table" w:styleId="TableGrid">
    <w:name w:val="Table Grid"/>
    <w:basedOn w:val="TableNormal"/>
    <w:uiPriority w:val="59"/>
    <w:rsid w:val="00B324E5"/>
    <w:pPr>
      <w:spacing w:after="0" w:line="240" w:lineRule="auto"/>
    </w:pPr>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7B554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wText">
    <w:name w:val="wText"/>
    <w:basedOn w:val="Normal"/>
    <w:link w:val="wTextChar"/>
    <w:uiPriority w:val="2"/>
    <w:qFormat/>
    <w:rsid w:val="00CC0D42"/>
    <w:pPr>
      <w:spacing w:before="240" w:after="180"/>
      <w:jc w:val="both"/>
    </w:pPr>
    <w:rPr>
      <w:rFonts w:ascii="Times New Roman" w:eastAsia="PMingLiU" w:hAnsi="Times New Roman" w:cs="Times New Roman"/>
      <w:szCs w:val="22"/>
      <w:lang w:val="en-US" w:eastAsia="en-US"/>
    </w:rPr>
  </w:style>
  <w:style w:type="character" w:customStyle="1" w:styleId="wTextChar">
    <w:name w:val="wText Char"/>
    <w:basedOn w:val="DefaultParagraphFont"/>
    <w:link w:val="wText"/>
    <w:uiPriority w:val="2"/>
    <w:rsid w:val="00CC0D42"/>
    <w:rPr>
      <w:rFonts w:ascii="Times New Roman" w:hAnsi="Times New Roman" w:cs="Times New Roman"/>
      <w:lang w:val="en-US" w:eastAsia="en-US"/>
    </w:rPr>
  </w:style>
  <w:style w:type="paragraph" w:customStyle="1" w:styleId="DraftLineWC">
    <w:name w:val="DraftLineW&amp;C"/>
    <w:basedOn w:val="Normal"/>
    <w:uiPriority w:val="99"/>
    <w:semiHidden/>
    <w:rsid w:val="005A3FC2"/>
    <w:pPr>
      <w:framePr w:w="5328" w:hSpace="187" w:vSpace="187" w:wrap="around" w:vAnchor="page" w:hAnchor="page" w:x="5761" w:y="721"/>
      <w:jc w:val="right"/>
    </w:pPr>
    <w:rPr>
      <w:rFonts w:ascii="Times New Roman" w:eastAsia="Times New Roman" w:hAnsi="Times New Roman" w:cs="Times New Roman"/>
      <w:sz w:val="20"/>
      <w:szCs w:val="24"/>
      <w:lang w:val="en-US" w:eastAsia="en-US"/>
    </w:rPr>
  </w:style>
  <w:style w:type="paragraph" w:customStyle="1" w:styleId="wText1">
    <w:name w:val="wText1"/>
    <w:basedOn w:val="Normal"/>
    <w:uiPriority w:val="1"/>
    <w:qFormat/>
    <w:rsid w:val="000857FF"/>
    <w:pPr>
      <w:spacing w:before="240" w:after="180"/>
      <w:ind w:left="720"/>
      <w:jc w:val="both"/>
    </w:pPr>
    <w:rPr>
      <w:rFonts w:ascii="Times New Roman" w:eastAsia="PMingLiU" w:hAnsi="Times New Roman" w:cs="Times New Roman"/>
      <w:szCs w:val="22"/>
      <w:lang w:val="en-US" w:eastAsia="en-US"/>
    </w:rPr>
  </w:style>
  <w:style w:type="paragraph" w:customStyle="1" w:styleId="wText2">
    <w:name w:val="wText2"/>
    <w:basedOn w:val="Normal"/>
    <w:uiPriority w:val="2"/>
    <w:qFormat/>
    <w:rsid w:val="00F03965"/>
    <w:pPr>
      <w:spacing w:before="240" w:after="180"/>
      <w:ind w:left="1440"/>
      <w:jc w:val="both"/>
    </w:pPr>
    <w:rPr>
      <w:rFonts w:ascii="Times New Roman" w:eastAsia="PMingLiU" w:hAnsi="Times New Roman" w:cs="Times New Roman"/>
      <w:szCs w:val="22"/>
      <w:lang w:val="en-US" w:eastAsia="en-US"/>
    </w:rPr>
  </w:style>
  <w:style w:type="paragraph" w:customStyle="1" w:styleId="Appendix1">
    <w:name w:val="Appendix 1"/>
    <w:basedOn w:val="Normal"/>
    <w:next w:val="Appendix2"/>
    <w:uiPriority w:val="10"/>
    <w:qFormat/>
    <w:rsid w:val="00F03965"/>
    <w:pPr>
      <w:keepNext/>
      <w:numPr>
        <w:numId w:val="40"/>
      </w:numPr>
      <w:spacing w:before="360" w:after="180"/>
      <w:jc w:val="both"/>
    </w:pPr>
    <w:rPr>
      <w:rFonts w:ascii="Times New Roman" w:eastAsia="PMingLiU" w:hAnsi="Times New Roman" w:cs="Times New Roman"/>
      <w:b/>
      <w:bCs/>
      <w:sz w:val="26"/>
      <w:szCs w:val="30"/>
      <w:lang w:val="en-US" w:eastAsia="en-US"/>
    </w:rPr>
  </w:style>
  <w:style w:type="paragraph" w:customStyle="1" w:styleId="Appendix2">
    <w:name w:val="Appendix 2"/>
    <w:basedOn w:val="Normal"/>
    <w:next w:val="wText1"/>
    <w:uiPriority w:val="10"/>
    <w:qFormat/>
    <w:rsid w:val="00F03965"/>
    <w:pPr>
      <w:keepNext/>
      <w:numPr>
        <w:ilvl w:val="1"/>
        <w:numId w:val="40"/>
      </w:numPr>
      <w:spacing w:before="240" w:after="180"/>
      <w:jc w:val="both"/>
    </w:pPr>
    <w:rPr>
      <w:rFonts w:ascii="Times New Roman" w:eastAsia="PMingLiU" w:hAnsi="Times New Roman" w:cs="Times New Roman"/>
      <w:b/>
      <w:bCs/>
      <w:szCs w:val="22"/>
      <w:lang w:val="en-US" w:eastAsia="en-US"/>
    </w:rPr>
  </w:style>
  <w:style w:type="paragraph" w:customStyle="1" w:styleId="Appendix3">
    <w:name w:val="Appendix 3"/>
    <w:basedOn w:val="Normal"/>
    <w:next w:val="wText1"/>
    <w:uiPriority w:val="10"/>
    <w:qFormat/>
    <w:rsid w:val="00F03965"/>
    <w:pPr>
      <w:numPr>
        <w:ilvl w:val="2"/>
        <w:numId w:val="40"/>
      </w:numPr>
      <w:spacing w:before="240" w:after="180"/>
      <w:jc w:val="both"/>
    </w:pPr>
    <w:rPr>
      <w:rFonts w:ascii="Times New Roman" w:eastAsia="PMingLiU" w:hAnsi="Times New Roman" w:cs="Times New Roman"/>
      <w:szCs w:val="22"/>
      <w:lang w:val="en-US" w:eastAsia="en-US"/>
    </w:rPr>
  </w:style>
  <w:style w:type="paragraph" w:customStyle="1" w:styleId="Appendix4">
    <w:name w:val="Appendix 4"/>
    <w:basedOn w:val="Normal"/>
    <w:next w:val="wText2"/>
    <w:uiPriority w:val="10"/>
    <w:qFormat/>
    <w:rsid w:val="00F03965"/>
    <w:pPr>
      <w:numPr>
        <w:ilvl w:val="3"/>
        <w:numId w:val="40"/>
      </w:numPr>
      <w:spacing w:before="240" w:after="180"/>
      <w:jc w:val="both"/>
    </w:pPr>
    <w:rPr>
      <w:rFonts w:ascii="Times New Roman" w:eastAsia="PMingLiU" w:hAnsi="Times New Roman" w:cs="Times New Roman"/>
      <w:iCs/>
      <w:szCs w:val="22"/>
      <w:lang w:val="en-US" w:eastAsia="en-US"/>
    </w:rPr>
  </w:style>
  <w:style w:type="paragraph" w:customStyle="1" w:styleId="Appendix5">
    <w:name w:val="Appendix 5"/>
    <w:basedOn w:val="Normal"/>
    <w:uiPriority w:val="10"/>
    <w:qFormat/>
    <w:rsid w:val="00F03965"/>
    <w:pPr>
      <w:numPr>
        <w:ilvl w:val="4"/>
        <w:numId w:val="40"/>
      </w:numPr>
      <w:spacing w:before="240" w:after="180"/>
      <w:jc w:val="both"/>
    </w:pPr>
    <w:rPr>
      <w:rFonts w:ascii="Times New Roman" w:eastAsia="PMingLiU" w:hAnsi="Times New Roman" w:cs="Times New Roman"/>
      <w:szCs w:val="22"/>
      <w:lang w:val="en-US" w:eastAsia="en-US"/>
    </w:rPr>
  </w:style>
  <w:style w:type="paragraph" w:customStyle="1" w:styleId="Appendix6">
    <w:name w:val="Appendix 6"/>
    <w:basedOn w:val="Normal"/>
    <w:uiPriority w:val="10"/>
    <w:qFormat/>
    <w:rsid w:val="00F03965"/>
    <w:pPr>
      <w:numPr>
        <w:ilvl w:val="5"/>
        <w:numId w:val="40"/>
      </w:numPr>
      <w:spacing w:before="240" w:after="180"/>
      <w:jc w:val="both"/>
    </w:pPr>
    <w:rPr>
      <w:rFonts w:ascii="Times New Roman" w:eastAsia="PMingLiU" w:hAnsi="Times New Roman" w:cs="Times New Roman"/>
      <w:szCs w:val="22"/>
      <w:lang w:val="en-US" w:eastAsia="en-US"/>
    </w:rPr>
  </w:style>
  <w:style w:type="paragraph" w:customStyle="1" w:styleId="Appendix7">
    <w:name w:val="Appendix 7"/>
    <w:basedOn w:val="Normal"/>
    <w:uiPriority w:val="10"/>
    <w:qFormat/>
    <w:rsid w:val="00F03965"/>
    <w:pPr>
      <w:numPr>
        <w:ilvl w:val="6"/>
        <w:numId w:val="40"/>
      </w:numPr>
      <w:spacing w:before="240" w:after="180"/>
      <w:jc w:val="both"/>
    </w:pPr>
    <w:rPr>
      <w:rFonts w:ascii="Times New Roman" w:eastAsia="PMingLiU" w:hAnsi="Times New Roman" w:cs="Times New Roman"/>
      <w:szCs w:val="22"/>
      <w:lang w:val="en-US" w:eastAsia="en-US"/>
    </w:rPr>
  </w:style>
  <w:style w:type="paragraph" w:customStyle="1" w:styleId="Appendix8">
    <w:name w:val="Appendix 8"/>
    <w:basedOn w:val="Normal"/>
    <w:uiPriority w:val="10"/>
    <w:qFormat/>
    <w:rsid w:val="00F03965"/>
    <w:pPr>
      <w:numPr>
        <w:ilvl w:val="7"/>
        <w:numId w:val="40"/>
      </w:numPr>
      <w:spacing w:before="240" w:after="180"/>
      <w:jc w:val="both"/>
    </w:pPr>
    <w:rPr>
      <w:rFonts w:ascii="Times New Roman" w:eastAsia="PMingLiU" w:hAnsi="Times New Roman" w:cs="Times New Roman"/>
      <w:szCs w:val="22"/>
      <w:lang w:val="en-US" w:eastAsia="en-US"/>
    </w:rPr>
  </w:style>
  <w:style w:type="paragraph" w:customStyle="1" w:styleId="Appendix9">
    <w:name w:val="Appendix 9"/>
    <w:basedOn w:val="Normal"/>
    <w:uiPriority w:val="10"/>
    <w:qFormat/>
    <w:rsid w:val="00F03965"/>
    <w:pPr>
      <w:numPr>
        <w:ilvl w:val="8"/>
        <w:numId w:val="40"/>
      </w:numPr>
      <w:spacing w:before="240" w:after="180"/>
      <w:jc w:val="both"/>
    </w:pPr>
    <w:rPr>
      <w:rFonts w:ascii="Times New Roman" w:eastAsia="PMingLiU" w:hAnsi="Times New Roman" w:cs="Times New Roman"/>
      <w:szCs w:val="22"/>
      <w:lang w:val="en-US" w:eastAsia="en-US"/>
    </w:rPr>
  </w:style>
  <w:style w:type="character" w:customStyle="1" w:styleId="Heading8Char">
    <w:name w:val="Heading 8 Char"/>
    <w:basedOn w:val="DefaultParagraphFont"/>
    <w:link w:val="Heading8"/>
    <w:rsid w:val="00480006"/>
    <w:rPr>
      <w:rFonts w:ascii="Times New Roman" w:eastAsia="MS Mincho" w:hAnsi="Times New Roman" w:cs="Times New Roman"/>
      <w:color w:val="5F5F5F" w:themeColor="text1"/>
      <w:lang w:val="en-GB" w:eastAsia="en-US"/>
    </w:rPr>
  </w:style>
  <w:style w:type="character" w:customStyle="1" w:styleId="Heading9Char">
    <w:name w:val="Heading 9 Char"/>
    <w:basedOn w:val="DefaultParagraphFont"/>
    <w:link w:val="Heading9"/>
    <w:rsid w:val="00480006"/>
    <w:rPr>
      <w:rFonts w:ascii="Times New Roman" w:eastAsia="MS Mincho" w:hAnsi="Times New Roman" w:cs="Times New Roman"/>
      <w:lang w:val="en-GB" w:eastAsia="en-US"/>
    </w:rPr>
  </w:style>
  <w:style w:type="paragraph" w:customStyle="1" w:styleId="Text">
    <w:name w:val="Text"/>
    <w:basedOn w:val="Normal"/>
    <w:uiPriority w:val="99"/>
    <w:qFormat/>
    <w:rsid w:val="00AA61FF"/>
    <w:pPr>
      <w:autoSpaceDE w:val="0"/>
      <w:autoSpaceDN w:val="0"/>
      <w:adjustRightInd w:val="0"/>
      <w:spacing w:after="240"/>
    </w:pPr>
    <w:rPr>
      <w:rFonts w:ascii="Times New Roman" w:eastAsia="SimSun" w:hAnsi="Times New Roman" w:cs="Times New Roman"/>
      <w:sz w:val="24"/>
      <w:szCs w:val="20"/>
      <w:lang w:eastAsia="en-GB"/>
    </w:rPr>
  </w:style>
  <w:style w:type="paragraph" w:customStyle="1" w:styleId="wList1">
    <w:name w:val="wList1"/>
    <w:basedOn w:val="Normal"/>
    <w:uiPriority w:val="7"/>
    <w:qFormat/>
    <w:rsid w:val="00FC3795"/>
    <w:pPr>
      <w:numPr>
        <w:numId w:val="44"/>
      </w:numPr>
      <w:spacing w:after="180"/>
      <w:jc w:val="both"/>
    </w:pPr>
    <w:rPr>
      <w:rFonts w:ascii="Times New Roman" w:eastAsia="MS Mincho" w:hAnsi="Times New Roman" w:cs="Traditional Arabic"/>
      <w:szCs w:val="26"/>
      <w:lang w:eastAsia="en-US"/>
    </w:rPr>
  </w:style>
  <w:style w:type="paragraph" w:customStyle="1" w:styleId="wList2">
    <w:name w:val="wList2"/>
    <w:basedOn w:val="Normal"/>
    <w:uiPriority w:val="7"/>
    <w:qFormat/>
    <w:rsid w:val="00FC3795"/>
    <w:pPr>
      <w:numPr>
        <w:ilvl w:val="1"/>
        <w:numId w:val="44"/>
      </w:numPr>
      <w:spacing w:after="180"/>
      <w:jc w:val="both"/>
    </w:pPr>
    <w:rPr>
      <w:rFonts w:ascii="Times New Roman" w:eastAsia="MS Mincho" w:hAnsi="Times New Roman" w:cs="Traditional Arabic"/>
      <w:szCs w:val="26"/>
      <w:lang w:eastAsia="en-US"/>
    </w:rPr>
  </w:style>
  <w:style w:type="paragraph" w:customStyle="1" w:styleId="wList3">
    <w:name w:val="wList3"/>
    <w:basedOn w:val="Normal"/>
    <w:uiPriority w:val="7"/>
    <w:qFormat/>
    <w:rsid w:val="00FC3795"/>
    <w:pPr>
      <w:numPr>
        <w:ilvl w:val="2"/>
        <w:numId w:val="44"/>
      </w:numPr>
      <w:spacing w:after="180"/>
      <w:jc w:val="both"/>
    </w:pPr>
    <w:rPr>
      <w:rFonts w:ascii="Times New Roman" w:eastAsia="MS Mincho" w:hAnsi="Times New Roman" w:cs="Traditional Arabic"/>
      <w:szCs w:val="26"/>
      <w:lang w:eastAsia="en-US"/>
    </w:rPr>
  </w:style>
  <w:style w:type="paragraph" w:customStyle="1" w:styleId="wList4">
    <w:name w:val="wList4"/>
    <w:basedOn w:val="Normal"/>
    <w:uiPriority w:val="7"/>
    <w:qFormat/>
    <w:rsid w:val="00FC3795"/>
    <w:pPr>
      <w:numPr>
        <w:ilvl w:val="3"/>
        <w:numId w:val="44"/>
      </w:numPr>
      <w:spacing w:after="180"/>
      <w:jc w:val="both"/>
    </w:pPr>
    <w:rPr>
      <w:rFonts w:ascii="Times New Roman" w:eastAsia="MS Mincho" w:hAnsi="Times New Roman" w:cs="Traditional Arabic"/>
      <w:szCs w:val="26"/>
      <w:lang w:eastAsia="en-US"/>
    </w:rPr>
  </w:style>
  <w:style w:type="paragraph" w:customStyle="1" w:styleId="wList5">
    <w:name w:val="wList5"/>
    <w:basedOn w:val="Normal"/>
    <w:uiPriority w:val="7"/>
    <w:qFormat/>
    <w:rsid w:val="00FC3795"/>
    <w:pPr>
      <w:numPr>
        <w:ilvl w:val="4"/>
        <w:numId w:val="44"/>
      </w:numPr>
      <w:spacing w:after="180"/>
      <w:jc w:val="both"/>
    </w:pPr>
    <w:rPr>
      <w:rFonts w:ascii="Times New Roman" w:eastAsia="MS Mincho" w:hAnsi="Times New Roman" w:cs="Traditional Arabic"/>
      <w:szCs w:val="26"/>
      <w:lang w:eastAsia="en-US"/>
    </w:rPr>
  </w:style>
  <w:style w:type="paragraph" w:customStyle="1" w:styleId="wList6">
    <w:name w:val="wList6"/>
    <w:basedOn w:val="Normal"/>
    <w:uiPriority w:val="7"/>
    <w:qFormat/>
    <w:rsid w:val="00FC3795"/>
    <w:pPr>
      <w:numPr>
        <w:ilvl w:val="5"/>
        <w:numId w:val="44"/>
      </w:numPr>
      <w:spacing w:after="180"/>
      <w:jc w:val="both"/>
    </w:pPr>
    <w:rPr>
      <w:rFonts w:ascii="Times New Roman" w:eastAsia="MS Mincho" w:hAnsi="Times New Roman" w:cs="Traditional Arabic"/>
      <w:szCs w:val="26"/>
      <w:lang w:eastAsia="en-US"/>
    </w:rPr>
  </w:style>
  <w:style w:type="paragraph" w:customStyle="1" w:styleId="wList7">
    <w:name w:val="wList7"/>
    <w:basedOn w:val="Normal"/>
    <w:uiPriority w:val="7"/>
    <w:qFormat/>
    <w:rsid w:val="00FC3795"/>
    <w:pPr>
      <w:numPr>
        <w:ilvl w:val="6"/>
        <w:numId w:val="44"/>
      </w:numPr>
      <w:spacing w:after="180"/>
      <w:jc w:val="both"/>
    </w:pPr>
    <w:rPr>
      <w:rFonts w:ascii="Times New Roman" w:eastAsia="MS Mincho" w:hAnsi="Times New Roman" w:cs="Traditional Arabic"/>
      <w:szCs w:val="26"/>
      <w:lang w:eastAsia="en-US"/>
    </w:rPr>
  </w:style>
  <w:style w:type="character" w:customStyle="1" w:styleId="Heading2Char">
    <w:name w:val="Heading 2 Char"/>
    <w:basedOn w:val="DefaultParagraphFont"/>
    <w:link w:val="Heading2"/>
    <w:rsid w:val="00DC2008"/>
    <w:rPr>
      <w:rFonts w:asciiTheme="majorHAnsi" w:eastAsiaTheme="majorEastAsia" w:hAnsiTheme="majorHAnsi" w:cstheme="majorHAnsi"/>
      <w:b/>
      <w:bCs/>
      <w:szCs w:val="28"/>
      <w:lang w:val="en-GB"/>
    </w:rPr>
  </w:style>
  <w:style w:type="paragraph" w:styleId="Revision">
    <w:name w:val="Revision"/>
    <w:hidden/>
    <w:uiPriority w:val="99"/>
    <w:semiHidden/>
    <w:rsid w:val="006427F7"/>
    <w:pPr>
      <w:spacing w:after="0" w:line="240" w:lineRule="auto"/>
    </w:pPr>
    <w:rPr>
      <w:rFonts w:eastAsiaTheme="minorEastAsia"/>
      <w:szCs w:val="28"/>
      <w:lang w:val="en-GB"/>
    </w:rPr>
  </w:style>
  <w:style w:type="table" w:customStyle="1" w:styleId="TableGrid1">
    <w:name w:val="Table Grid1"/>
    <w:basedOn w:val="TableNormal"/>
    <w:next w:val="TableGrid"/>
    <w:uiPriority w:val="59"/>
    <w:rsid w:val="006427F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enter">
    <w:name w:val="wCenter"/>
    <w:basedOn w:val="Normal"/>
    <w:uiPriority w:val="5"/>
    <w:qFormat/>
    <w:rsid w:val="006427F7"/>
    <w:pPr>
      <w:spacing w:after="240"/>
      <w:jc w:val="center"/>
    </w:pPr>
    <w:rPr>
      <w:rFonts w:ascii="Times New Roman" w:eastAsia="MS Mincho" w:hAnsi="Times New Roman" w:cs="Times New Roman"/>
      <w:sz w:val="20"/>
      <w:szCs w:val="22"/>
      <w:lang w:eastAsia="en-US"/>
    </w:rPr>
  </w:style>
  <w:style w:type="character" w:styleId="CommentReference">
    <w:name w:val="annotation reference"/>
    <w:basedOn w:val="DefaultParagraphFont"/>
    <w:semiHidden/>
    <w:unhideWhenUsed/>
    <w:rsid w:val="00BD008B"/>
    <w:rPr>
      <w:sz w:val="16"/>
      <w:szCs w:val="16"/>
    </w:rPr>
  </w:style>
  <w:style w:type="paragraph" w:styleId="CommentText">
    <w:name w:val="annotation text"/>
    <w:basedOn w:val="Normal"/>
    <w:link w:val="CommentTextChar"/>
    <w:unhideWhenUsed/>
    <w:rsid w:val="00BD008B"/>
    <w:rPr>
      <w:sz w:val="20"/>
      <w:szCs w:val="20"/>
    </w:rPr>
  </w:style>
  <w:style w:type="character" w:customStyle="1" w:styleId="CommentTextChar">
    <w:name w:val="Comment Text Char"/>
    <w:basedOn w:val="DefaultParagraphFont"/>
    <w:link w:val="CommentText"/>
    <w:rsid w:val="00BD008B"/>
    <w:rPr>
      <w:rFonts w:eastAsiaTheme="minorEastAsia"/>
      <w:sz w:val="20"/>
      <w:szCs w:val="20"/>
      <w:lang w:val="en-GB"/>
    </w:rPr>
  </w:style>
  <w:style w:type="paragraph" w:styleId="CommentSubject">
    <w:name w:val="annotation subject"/>
    <w:basedOn w:val="CommentText"/>
    <w:next w:val="CommentText"/>
    <w:link w:val="CommentSubjectChar"/>
    <w:semiHidden/>
    <w:unhideWhenUsed/>
    <w:rsid w:val="00BD008B"/>
    <w:rPr>
      <w:b/>
      <w:bCs/>
    </w:rPr>
  </w:style>
  <w:style w:type="character" w:customStyle="1" w:styleId="CommentSubjectChar">
    <w:name w:val="Comment Subject Char"/>
    <w:basedOn w:val="CommentTextChar"/>
    <w:link w:val="CommentSubject"/>
    <w:semiHidden/>
    <w:rsid w:val="00BD008B"/>
    <w:rPr>
      <w:rFonts w:eastAsiaTheme="minorEastAsia"/>
      <w:b/>
      <w:bCs/>
      <w:sz w:val="20"/>
      <w:szCs w:val="20"/>
      <w:lang w:val="en-GB"/>
    </w:rPr>
  </w:style>
  <w:style w:type="paragraph" w:customStyle="1" w:styleId="BodyTextFirstline">
    <w:name w:val="Body Text (First line)"/>
    <w:basedOn w:val="Normal"/>
    <w:uiPriority w:val="11"/>
    <w:rsid w:val="00391175"/>
    <w:pPr>
      <w:spacing w:after="220"/>
      <w:ind w:firstLine="706"/>
    </w:pPr>
    <w:rPr>
      <w:sz w:val="20"/>
    </w:rPr>
  </w:style>
  <w:style w:type="paragraph" w:customStyle="1" w:styleId="wTableFN6">
    <w:name w:val="wTableFN6"/>
    <w:basedOn w:val="Normal"/>
    <w:uiPriority w:val="9"/>
    <w:qFormat/>
    <w:rsid w:val="00391175"/>
    <w:pPr>
      <w:spacing w:after="180"/>
      <w:ind w:left="720" w:hanging="720"/>
      <w:contextualSpacing/>
      <w:jc w:val="both"/>
    </w:pPr>
    <w:rPr>
      <w:rFonts w:ascii="Times New Roman" w:eastAsia="MS Mincho" w:hAnsi="Times New Roman" w:cs="Times New Roman"/>
      <w:sz w:val="12"/>
      <w:szCs w:val="22"/>
      <w:lang w:eastAsia="en-US"/>
    </w:rPr>
  </w:style>
  <w:style w:type="character" w:customStyle="1" w:styleId="xn-money">
    <w:name w:val="xn-money"/>
    <w:basedOn w:val="DefaultParagraphFont"/>
    <w:rsid w:val="003D6C2B"/>
  </w:style>
  <w:style w:type="character" w:styleId="UnresolvedMention">
    <w:name w:val="Unresolved Mention"/>
    <w:basedOn w:val="DefaultParagraphFont"/>
    <w:uiPriority w:val="99"/>
    <w:semiHidden/>
    <w:unhideWhenUsed/>
    <w:rsid w:val="0095433F"/>
    <w:rPr>
      <w:color w:val="605E5C"/>
      <w:shd w:val="clear" w:color="auto" w:fill="E1DFDD"/>
    </w:rPr>
  </w:style>
  <w:style w:type="paragraph" w:styleId="MacroText">
    <w:name w:val="macro"/>
    <w:link w:val="MacroTextChar"/>
    <w:semiHidden/>
    <w:unhideWhenUsed/>
    <w:rsid w:val="00CC57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sz w:val="20"/>
      <w:szCs w:val="20"/>
      <w:lang w:val="en-GB"/>
    </w:rPr>
  </w:style>
  <w:style w:type="character" w:customStyle="1" w:styleId="MacroTextChar">
    <w:name w:val="Macro Text Char"/>
    <w:basedOn w:val="DefaultParagraphFont"/>
    <w:link w:val="MacroText"/>
    <w:semiHidden/>
    <w:rsid w:val="00CC575B"/>
    <w:rPr>
      <w:rFonts w:ascii="Consolas" w:eastAsiaTheme="minorEastAsia"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938194">
      <w:bodyDiv w:val="1"/>
      <w:marLeft w:val="0"/>
      <w:marRight w:val="0"/>
      <w:marTop w:val="0"/>
      <w:marBottom w:val="0"/>
      <w:divBdr>
        <w:top w:val="none" w:sz="0" w:space="0" w:color="auto"/>
        <w:left w:val="none" w:sz="0" w:space="0" w:color="auto"/>
        <w:bottom w:val="none" w:sz="0" w:space="0" w:color="auto"/>
        <w:right w:val="none" w:sz="0" w:space="0" w:color="auto"/>
      </w:divBdr>
    </w:div>
    <w:div w:id="8076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abilitymanagement.europe@citi.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ix.kz" TargetMode="External"/><Relationship Id="rId17" Type="http://schemas.openxmlformats.org/officeDocument/2006/relationships/hyperlink" Target="https://deals.is.kroll.com/km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mg@is.kro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se.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m_europe_lm@jpmorgan.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_europe_lm@jpmorgan.com" TargetMode="External"/><Relationship Id="rId22" Type="http://schemas.openxmlformats.org/officeDocument/2006/relationships/header" Target="header3.xm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1 6 " ? > < r o o t   x m l n s = " h t t p : / / s c h e m a s . m a c r o v i e w . c o m . a u / b m o f f i c e / b l a n k " >  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 E M E A ! 1 5 1 4 7 2 9 6 0 . 2 < / d o c u m e n t i d >  
     < s e n d e r i d > F A M E L O R < / s e n d e r i d >  
     < s e n d e r e m a i l > E L O R A . F A M @ W H I T E C A S E . C O M < / s e n d e r e m a i l >  
     < l a s t m o d i f i e d > 2 0 2 4 - 0 8 - 2 8 T 1 7 : 5 6 : 0 0 . 0 0 0 0 0 0 0 + 0 1 : 0 0 < / l a s t m o d i f i e d >  
     < d a t a b a s e > E M E A < / d a t a b a s e >  
 < / p r o p e r t i e s > 
</file>

<file path=customXml/itemProps1.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285198B-0CB7-44D6-AFD7-F558CD57D7AE}">
  <ds:schemaRefs>
    <ds:schemaRef ds:uri="http://schemas.macroview.com.au/bmoffice/blank"/>
  </ds:schemaRefs>
</ds:datastoreItem>
</file>

<file path=customXml/itemProps3.xml><?xml version="1.0" encoding="utf-8"?>
<ds:datastoreItem xmlns:ds="http://schemas.openxmlformats.org/officeDocument/2006/customXml" ds:itemID="{963C2A61-B434-4D5E-AC38-7F6F4F03D8C8}">
  <ds:schemaRefs>
    <ds:schemaRef ds:uri="http://schemas.openxmlformats.org/officeDocument/2006/bibliography"/>
  </ds:schemaRefs>
</ds:datastoreItem>
</file>

<file path=customXml/itemProps4.xml><?xml version="1.0" encoding="utf-8"?>
<ds:datastoreItem xmlns:ds="http://schemas.openxmlformats.org/officeDocument/2006/customXml" ds:itemID="{9BA0C4A4-7ACA-421D-AE07-78C5C5E988C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4526</Words>
  <Characters>23404</Characters>
  <Application>Microsoft Office Word</Application>
  <DocSecurity>0</DocSecurity>
  <Lines>417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 Elora</dc:creator>
  <cp:lastModifiedBy>Soroka, Anna</cp:lastModifiedBy>
  <cp:revision>2</cp:revision>
  <dcterms:created xsi:type="dcterms:W3CDTF">2024-09-03T07:32:00Z</dcterms:created>
  <dcterms:modified xsi:type="dcterms:W3CDTF">2024-09-03T07:32:00Z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T_DocNumber">
    <vt:lpwstr/>
  </property>
  <property fmtid="{D5CDD505-2E9C-101B-9397-08002B2CF9AE}" pid="3" name="NRT_DocVersion">
    <vt:lpwstr/>
  </property>
  <property fmtid="{D5CDD505-2E9C-101B-9397-08002B2CF9AE}" pid="4" name="NRT_DocName">
    <vt:lpwstr/>
  </property>
  <property fmtid="{D5CDD505-2E9C-101B-9397-08002B2CF9AE}" pid="5" name="NRT_AuthorDescription">
    <vt:lpwstr/>
  </property>
  <property fmtid="{D5CDD505-2E9C-101B-9397-08002B2CF9AE}" pid="6" name="NRT_Author">
    <vt:lpwstr/>
  </property>
  <property fmtid="{D5CDD505-2E9C-101B-9397-08002B2CF9AE}" pid="7" name="NRT_Operator">
    <vt:lpwstr/>
  </property>
  <property fmtid="{D5CDD505-2E9C-101B-9397-08002B2CF9AE}" pid="8" name="NRT_Database">
    <vt:lpwstr/>
  </property>
  <property fmtid="{D5CDD505-2E9C-101B-9397-08002B2CF9AE}" pid="9" name="NRT_ELITE_CLIENT">
    <vt:lpwstr/>
  </property>
  <property fmtid="{D5CDD505-2E9C-101B-9397-08002B2CF9AE}" pid="10" name="NRT_ELITE_MATTER">
    <vt:lpwstr/>
  </property>
  <property fmtid="{D5CDD505-2E9C-101B-9397-08002B2CF9AE}" pid="11" name="pDocRef">
    <vt:lpwstr/>
  </property>
  <property fmtid="{D5CDD505-2E9C-101B-9397-08002B2CF9AE}" pid="12" name="pDocNumber">
    <vt:lpwstr/>
  </property>
  <property fmtid="{D5CDD505-2E9C-101B-9397-08002B2CF9AE}" pid="13" name="WCOffice">
    <vt:lpwstr>London</vt:lpwstr>
  </property>
  <property fmtid="{D5CDD505-2E9C-101B-9397-08002B2CF9AE}" pid="14" name="Language1">
    <vt:lpwstr>English (UK)</vt:lpwstr>
  </property>
  <property fmtid="{D5CDD505-2E9C-101B-9397-08002B2CF9AE}" pid="15" name="Office">
    <vt:lpwstr/>
  </property>
  <property fmtid="{D5CDD505-2E9C-101B-9397-08002B2CF9AE}" pid="16" name="DateFormat">
    <vt:lpwstr>DAY MONTH YEAR</vt:lpwstr>
  </property>
</Properties>
</file>