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034C" w:rsidR="00C4277B" w:rsidP="00C4277B" w:rsidRDefault="00C4277B" w14:paraId="38991853" w14:textId="77777777">
      <w:pPr>
        <w:pStyle w:val="BodyText"/>
        <w:spacing w:before="120" w:after="120" w:line="240" w:lineRule="auto"/>
        <w:jc w:val="both"/>
        <w:rPr>
          <w:rFonts w:cstheme="minorHAnsi"/>
          <w:szCs w:val="22"/>
          <w:lang w:val="kk-KZ"/>
        </w:rPr>
      </w:pPr>
      <w:r w:rsidRPr="003D034C">
        <w:rPr>
          <w:rFonts w:cstheme="minorHAnsi"/>
          <w:szCs w:val="22"/>
          <w:lang w:val="kk-KZ"/>
        </w:rPr>
        <w:t xml:space="preserve">МҰНДАЙ ШЫҒАРЫЛЫМ, ТАРАТУ НЕМЕСЕ ЖАРИЯЛАУ ЖАРНАМАНЫ НЕМЕСЕ </w:t>
      </w:r>
      <w:r w:rsidRPr="003D034C">
        <w:rPr>
          <w:rFonts w:cstheme="minorHAnsi"/>
          <w:szCs w:val="22"/>
          <w:lang w:val="kk-KZ"/>
        </w:rPr>
        <w:t>САТЫП АЛУ ҰСЫНЫСТАР</w:t>
      </w:r>
      <w:r w:rsidRPr="003D034C">
        <w:rPr>
          <w:rFonts w:cstheme="minorHAnsi"/>
          <w:szCs w:val="22"/>
          <w:lang w:val="kk-KZ"/>
        </w:rPr>
        <w:t>Ы ЗАҢСЫЗ БОЛЫП ТАБЫЛАТЫН КЕЗ КЕЛГЕН ЮРИСДИКЦИЯДА ТҰРАТЫН НЕМЕСЕ ТҰРАТЫН КЕЗ КЕЛГЕН АДАМҒА ШЫҒАРУҒА, ТАРАТУҒА НЕМЕСЕ ЖАРИЯЛАУҒА АРНАЛМАҒАН.</w:t>
      </w:r>
    </w:p>
    <w:p w:rsidR="00C4277B" w:rsidP="00C4277B" w:rsidRDefault="00C4277B" w14:paraId="6447030A" w14:textId="1318410D">
      <w:pPr>
        <w:pStyle w:val="BodyText"/>
        <w:spacing w:before="120" w:after="120" w:line="240" w:lineRule="auto"/>
        <w:jc w:val="both"/>
        <w:rPr>
          <w:rFonts w:cstheme="minorHAnsi"/>
          <w:b/>
          <w:szCs w:val="22"/>
          <w:lang w:val="kk-KZ"/>
        </w:rPr>
      </w:pPr>
      <w:r w:rsidRPr="003D034C">
        <w:rPr>
          <w:rFonts w:cstheme="minorHAnsi"/>
          <w:b/>
          <w:szCs w:val="22"/>
          <w:lang w:val="kk-KZ"/>
        </w:rPr>
        <w:t>«ҚАЗМҰНАЙГАЗ» ҰК АҚ ЖӘНЕ KAZMUNAIGAZ FINANCE SUB B. V. 2027 ЖЫЛЫ ӨТЕУ МЕРЗІМІМЕН НОМИНАЛЫ 1 000 000 000 АҚШ ДОЛЛАРЫ 4,750% БОЛАТЫН ОБЛИГАЦИЯЛАРҒА ҚАТЫСТЫ АҚШАЛАЙ ТЕНДЕРЛІК ҰСЫНЫС</w:t>
      </w:r>
      <w:r w:rsidR="009B3D57">
        <w:rPr>
          <w:rFonts w:cstheme="minorHAnsi"/>
          <w:b/>
          <w:szCs w:val="22"/>
          <w:lang w:val="kk-KZ"/>
        </w:rPr>
        <w:t>ТЫҢ НӘТИЖЕЛЕРІН</w:t>
      </w:r>
      <w:r w:rsidRPr="003D034C">
        <w:rPr>
          <w:rFonts w:cstheme="minorHAnsi"/>
          <w:b/>
          <w:szCs w:val="22"/>
          <w:lang w:val="kk-KZ"/>
        </w:rPr>
        <w:t xml:space="preserve"> ЖАРИЯЛАЙДЫ </w:t>
      </w:r>
    </w:p>
    <w:p w:rsidRPr="00FA3E74" w:rsidR="00BB1677" w:rsidP="009E1FE2" w:rsidRDefault="00BD502D" w14:paraId="0CD5B5F0" w14:textId="4304C0F7">
      <w:pPr>
        <w:pStyle w:val="BodyText"/>
        <w:spacing w:after="120"/>
        <w:jc w:val="both"/>
        <w:rPr>
          <w:rFonts w:ascii="Times New Roman" w:hAnsi="Times New Roman" w:cs="Times New Roman"/>
          <w:szCs w:val="22"/>
          <w:lang w:val="kk-KZ"/>
        </w:rPr>
      </w:pPr>
      <w:r w:rsidRPr="00C4277B">
        <w:rPr>
          <w:rFonts w:ascii="Times New Roman" w:hAnsi="Times New Roman" w:cs="Times New Roman"/>
          <w:szCs w:val="22"/>
          <w:lang w:val="kk-KZ"/>
        </w:rPr>
        <w:t>11</w:t>
      </w:r>
      <w:r w:rsidRPr="00C4277B" w:rsidR="009D76D6">
        <w:rPr>
          <w:rFonts w:ascii="Times New Roman" w:hAnsi="Times New Roman" w:cs="Times New Roman"/>
          <w:szCs w:val="22"/>
          <w:lang w:val="kk-KZ"/>
        </w:rPr>
        <w:t xml:space="preserve"> </w:t>
      </w:r>
      <w:r w:rsidRPr="003D034C" w:rsidR="00C4277B">
        <w:rPr>
          <w:rFonts w:ascii="Times New Roman" w:hAnsi="Times New Roman" w:cs="Times New Roman"/>
          <w:szCs w:val="22"/>
          <w:lang w:val="kk-KZ"/>
        </w:rPr>
        <w:t xml:space="preserve">қыркүйек </w:t>
      </w:r>
      <w:r w:rsidRPr="00C4277B" w:rsidR="009D76D6">
        <w:rPr>
          <w:rFonts w:ascii="Times New Roman" w:hAnsi="Times New Roman" w:cs="Times New Roman"/>
          <w:szCs w:val="22"/>
          <w:lang w:val="kk-KZ"/>
        </w:rPr>
        <w:t>2024</w:t>
      </w:r>
    </w:p>
    <w:p w:rsidR="00EE0908" w:rsidP="009E1FE2" w:rsidRDefault="00D337E0" w14:paraId="1F3BBD31" w14:textId="5B8A4D16">
      <w:pPr>
        <w:pStyle w:val="BodyText"/>
        <w:spacing w:after="120"/>
        <w:jc w:val="both"/>
        <w:rPr>
          <w:rFonts w:ascii="Times New Roman" w:hAnsi="Times New Roman" w:cs="Times New Roman"/>
          <w:szCs w:val="22"/>
          <w:lang w:val="kk-KZ"/>
        </w:rPr>
      </w:pPr>
      <w:r w:rsidRPr="00D337E0">
        <w:rPr>
          <w:rFonts w:ascii="Times New Roman" w:hAnsi="Times New Roman" w:cs="Times New Roman"/>
          <w:szCs w:val="22"/>
          <w:lang w:val="kk-KZ"/>
        </w:rPr>
        <w:t xml:space="preserve">2024 жылғы 3 </w:t>
      </w:r>
      <w:r w:rsidRPr="00FA3E74">
        <w:rPr>
          <w:rStyle w:val="ezkurwreuab5ozgtqnkl"/>
          <w:lang w:val="kk-KZ"/>
        </w:rPr>
        <w:t>қыркүйекте</w:t>
      </w:r>
      <w:r>
        <w:rPr>
          <w:rFonts w:ascii="Times New Roman" w:hAnsi="Times New Roman" w:cs="Times New Roman"/>
          <w:szCs w:val="22"/>
          <w:lang w:val="kk-KZ"/>
        </w:rPr>
        <w:t xml:space="preserve"> </w:t>
      </w:r>
      <w:r w:rsidRPr="00E874D6" w:rsidR="00C4277B">
        <w:rPr>
          <w:rFonts w:ascii="Times New Roman" w:hAnsi="Times New Roman" w:cs="Times New Roman"/>
          <w:szCs w:val="22"/>
          <w:lang w:val="kk-KZ"/>
        </w:rPr>
        <w:t>«ҚазМұнайГаз» ҰК АҚ («</w:t>
      </w:r>
      <w:r w:rsidRPr="00E874D6" w:rsidR="00C4277B">
        <w:rPr>
          <w:rFonts w:ascii="Times New Roman" w:hAnsi="Times New Roman" w:cs="Times New Roman"/>
          <w:b/>
          <w:bCs/>
          <w:szCs w:val="22"/>
          <w:lang w:val="kk-KZ"/>
        </w:rPr>
        <w:t>Эмитент</w:t>
      </w:r>
      <w:r w:rsidRPr="00E874D6" w:rsidR="00C4277B">
        <w:rPr>
          <w:rFonts w:ascii="Times New Roman" w:hAnsi="Times New Roman" w:cs="Times New Roman"/>
          <w:szCs w:val="22"/>
          <w:lang w:val="kk-KZ"/>
        </w:rPr>
        <w:t>») және KazMunaiGaz Finance Sub B. V. («</w:t>
      </w:r>
      <w:r w:rsidRPr="00E874D6" w:rsidR="00C4277B">
        <w:rPr>
          <w:rFonts w:ascii="Times New Roman" w:hAnsi="Times New Roman" w:cs="Times New Roman"/>
          <w:b/>
          <w:bCs/>
          <w:noProof/>
          <w:szCs w:val="22"/>
          <w:lang w:val="kk-KZ"/>
        </w:rPr>
        <w:t>KMG Finance</w:t>
      </w:r>
      <w:r w:rsidRPr="00E874D6" w:rsidR="00C4277B">
        <w:rPr>
          <w:rFonts w:ascii="Times New Roman" w:hAnsi="Times New Roman" w:cs="Times New Roman"/>
          <w:szCs w:val="22"/>
          <w:lang w:val="kk-KZ"/>
        </w:rPr>
        <w:t>» және Эмитентпен бірге «</w:t>
      </w:r>
      <w:r w:rsidRPr="00E874D6" w:rsidR="00C4277B">
        <w:rPr>
          <w:rFonts w:ascii="Times New Roman" w:hAnsi="Times New Roman" w:cs="Times New Roman"/>
          <w:b/>
          <w:bCs/>
          <w:szCs w:val="22"/>
          <w:lang w:val="kk-KZ"/>
        </w:rPr>
        <w:t>Ұсынушылар</w:t>
      </w:r>
      <w:r w:rsidRPr="00E874D6" w:rsidR="00C4277B">
        <w:rPr>
          <w:rFonts w:ascii="Times New Roman" w:hAnsi="Times New Roman" w:cs="Times New Roman"/>
          <w:szCs w:val="22"/>
          <w:lang w:val="kk-KZ"/>
        </w:rPr>
        <w:t>»)</w:t>
      </w:r>
      <w:r w:rsidRPr="00E874D6" w:rsidR="00EE0908">
        <w:rPr>
          <w:rFonts w:ascii="Times New Roman" w:hAnsi="Times New Roman" w:cs="Times New Roman"/>
          <w:szCs w:val="22"/>
          <w:lang w:val="kk-KZ"/>
        </w:rPr>
        <w:t xml:space="preserve"> әрбір ұстаушыға («</w:t>
      </w:r>
      <w:r w:rsidRPr="00E874D6" w:rsidR="00EE0908">
        <w:rPr>
          <w:rFonts w:ascii="Times New Roman" w:hAnsi="Times New Roman" w:cs="Times New Roman"/>
          <w:b/>
          <w:bCs/>
          <w:szCs w:val="22"/>
          <w:lang w:val="kk-KZ"/>
        </w:rPr>
        <w:t>Ұстаушылар</w:t>
      </w:r>
      <w:r w:rsidRPr="00E874D6" w:rsidR="00EE0908">
        <w:rPr>
          <w:rFonts w:ascii="Times New Roman" w:hAnsi="Times New Roman" w:cs="Times New Roman"/>
          <w:szCs w:val="22"/>
          <w:lang w:val="kk-KZ"/>
        </w:rPr>
        <w:t xml:space="preserve">») (ұсынуға және таратуға белгілі бір шектеулерді ескере отырып) Эмитент шығарған, 2027 жылы өтеу мерзімімен 4,750% - бен өтелмеген негізгі сомасы 1 000 000 000 АҚШ доллары көлеміндегі облигацияларды </w:t>
      </w:r>
      <w:r w:rsidRPr="00E874D6" w:rsidR="00EE0908">
        <w:rPr>
          <w:lang w:val="kk-KZ"/>
        </w:rPr>
        <w:t>(«</w:t>
      </w:r>
      <w:r w:rsidRPr="00E874D6" w:rsidR="00EE0908">
        <w:rPr>
          <w:b/>
          <w:bCs/>
          <w:lang w:val="kk-KZ"/>
        </w:rPr>
        <w:t>Облигациялар</w:t>
      </w:r>
      <w:r w:rsidRPr="00E874D6" w:rsidR="00EE0908">
        <w:rPr>
          <w:lang w:val="kk-KZ"/>
        </w:rPr>
        <w:t xml:space="preserve">») </w:t>
      </w:r>
      <w:r w:rsidRPr="00E874D6" w:rsidR="00EE0908">
        <w:rPr>
          <w:rFonts w:ascii="Times New Roman" w:hAnsi="Times New Roman" w:cs="Times New Roman"/>
          <w:szCs w:val="22"/>
          <w:lang w:val="kk-KZ"/>
        </w:rPr>
        <w:t>осындай барлық облигацияларды қолма-қол ақшаға (</w:t>
      </w:r>
      <w:r w:rsidRPr="00E874D6" w:rsidR="001510BD">
        <w:rPr>
          <w:rFonts w:ascii="Times New Roman" w:hAnsi="Times New Roman" w:cs="Times New Roman"/>
          <w:szCs w:val="22"/>
          <w:lang w:val="kk-KZ"/>
        </w:rPr>
        <w:t>«</w:t>
      </w:r>
      <w:r w:rsidRPr="00E874D6" w:rsidR="00EE0908">
        <w:rPr>
          <w:rFonts w:ascii="Times New Roman" w:hAnsi="Times New Roman" w:cs="Times New Roman"/>
          <w:b/>
          <w:bCs/>
          <w:szCs w:val="22"/>
          <w:lang w:val="kk-KZ"/>
        </w:rPr>
        <w:t>Тендерлік ұсыныс</w:t>
      </w:r>
      <w:r w:rsidRPr="00E874D6" w:rsidR="001510BD">
        <w:rPr>
          <w:rFonts w:ascii="Times New Roman" w:hAnsi="Times New Roman" w:cs="Times New Roman"/>
          <w:szCs w:val="22"/>
          <w:lang w:val="kk-KZ"/>
        </w:rPr>
        <w:t>»</w:t>
      </w:r>
      <w:r w:rsidRPr="00E874D6" w:rsidR="00EE0908">
        <w:rPr>
          <w:rFonts w:ascii="Times New Roman" w:hAnsi="Times New Roman" w:cs="Times New Roman"/>
          <w:szCs w:val="22"/>
          <w:lang w:val="kk-KZ"/>
        </w:rPr>
        <w:t>)</w:t>
      </w:r>
      <w:r w:rsidRPr="00E874D6" w:rsidR="001510BD">
        <w:rPr>
          <w:rFonts w:ascii="Times New Roman" w:hAnsi="Times New Roman" w:cs="Times New Roman"/>
          <w:szCs w:val="22"/>
          <w:lang w:val="kk-KZ"/>
        </w:rPr>
        <w:t xml:space="preserve"> </w:t>
      </w:r>
      <w:r w:rsidRPr="00E874D6" w:rsidR="00EE0908">
        <w:rPr>
          <w:rFonts w:ascii="Times New Roman" w:hAnsi="Times New Roman" w:cs="Times New Roman"/>
          <w:szCs w:val="22"/>
          <w:lang w:val="kk-KZ"/>
        </w:rPr>
        <w:t>айырбастауға шақыру жолдады.</w:t>
      </w:r>
    </w:p>
    <w:p w:rsidRPr="00684A2D" w:rsidR="00684A2D" w:rsidP="00684A2D" w:rsidRDefault="00E1599E" w14:paraId="76B88BCD" w14:textId="77777777">
      <w:pPr>
        <w:pStyle w:val="BodyText"/>
        <w:spacing w:after="120"/>
        <w:jc w:val="both"/>
        <w:rPr>
          <w:lang w:val="kk-KZ"/>
        </w:rPr>
      </w:pPr>
      <w:r w:rsidRPr="00445C24">
        <w:rPr>
          <w:lang w:val="kk-KZ"/>
        </w:rPr>
        <w:t xml:space="preserve">Тендерлік ұсыныс 2024 жылғы 3 қыркүйектегі </w:t>
      </w:r>
      <w:r>
        <w:rPr>
          <w:lang w:val="kk-KZ"/>
        </w:rPr>
        <w:t>Сатып</w:t>
      </w:r>
      <w:r w:rsidRPr="00445C24">
        <w:rPr>
          <w:lang w:val="kk-KZ"/>
        </w:rPr>
        <w:t xml:space="preserve"> алу ұсыныс</w:t>
      </w:r>
      <w:r>
        <w:rPr>
          <w:lang w:val="kk-KZ"/>
        </w:rPr>
        <w:t>ында</w:t>
      </w:r>
      <w:r w:rsidRPr="00445C24">
        <w:rPr>
          <w:lang w:val="kk-KZ"/>
        </w:rPr>
        <w:t xml:space="preserve"> (</w:t>
      </w:r>
      <w:r>
        <w:rPr>
          <w:lang w:val="kk-KZ"/>
        </w:rPr>
        <w:t>«</w:t>
      </w:r>
      <w:r w:rsidRPr="00CA1387">
        <w:rPr>
          <w:b/>
          <w:bCs/>
          <w:lang w:val="kk-KZ"/>
        </w:rPr>
        <w:t>Сатып алу ұсынысы</w:t>
      </w:r>
      <w:r>
        <w:rPr>
          <w:lang w:val="kk-KZ"/>
        </w:rPr>
        <w:t>»</w:t>
      </w:r>
      <w:r w:rsidRPr="00445C24">
        <w:rPr>
          <w:lang w:val="kk-KZ"/>
        </w:rPr>
        <w:t xml:space="preserve">) көрсетілген шарттармен </w:t>
      </w:r>
      <w:r>
        <w:rPr>
          <w:lang w:val="kk-KZ"/>
        </w:rPr>
        <w:t>жасалды</w:t>
      </w:r>
      <w:r w:rsidRPr="00445C24">
        <w:rPr>
          <w:lang w:val="kk-KZ"/>
        </w:rPr>
        <w:t>.</w:t>
      </w:r>
      <w:r w:rsidR="00684A2D">
        <w:rPr>
          <w:lang w:val="kk-KZ"/>
        </w:rPr>
        <w:t xml:space="preserve"> </w:t>
      </w:r>
      <w:r w:rsidRPr="00684A2D" w:rsidR="00684A2D">
        <w:rPr>
          <w:lang w:val="kk-KZ"/>
        </w:rPr>
        <w:t>Осы хабарландыруда қолданылатын, бірақ осы құжатта анықталмаған бас әріппен жазылған терминдердің Сатып алу ұсынысында көрсетілген мағынасы болады.</w:t>
      </w:r>
    </w:p>
    <w:p w:rsidRPr="00684A2D" w:rsidR="009155BE" w:rsidP="009E1FE2" w:rsidRDefault="00684A2D" w14:paraId="11B1BC2E" w14:textId="0AF74311">
      <w:pPr>
        <w:pStyle w:val="BodyText"/>
        <w:spacing w:after="120"/>
        <w:jc w:val="both"/>
        <w:rPr>
          <w:rFonts w:ascii="Times New Roman" w:hAnsi="Times New Roman" w:cs="Times New Roman"/>
          <w:szCs w:val="22"/>
          <w:lang w:val="kk-KZ"/>
        </w:rPr>
      </w:pPr>
      <w:r w:rsidRPr="00684A2D">
        <w:rPr>
          <w:lang w:val="kk-KZ"/>
        </w:rPr>
        <w:t>Келесі кестеде Тендерлік ұсыныс туралы толық мәліметтер келтірілген:</w:t>
      </w:r>
      <w:r w:rsidRPr="00FA3E74" w:rsidR="009155BE">
        <w:rPr>
          <w:rFonts w:cstheme="minorHAnsi"/>
          <w:color w:val="auto"/>
          <w:szCs w:val="22"/>
          <w:lang w:val="kk-KZ"/>
        </w:rPr>
        <w:t xml:space="preserve"> </w:t>
      </w:r>
    </w:p>
    <w:tbl>
      <w:tblPr>
        <w:tblStyle w:val="TableGrid"/>
        <w:tblW w:w="5340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3261"/>
        <w:gridCol w:w="1417"/>
        <w:gridCol w:w="1559"/>
        <w:gridCol w:w="1419"/>
      </w:tblGrid>
      <w:tr w:rsidRPr="003D034C" w:rsidR="00692C26" w:rsidTr="00871783" w14:paraId="2C8DA5DD" w14:textId="77777777">
        <w:trPr>
          <w:trHeight w:val="640"/>
          <w:tblHeader/>
        </w:trPr>
        <w:tc>
          <w:tcPr>
            <w:tcW w:w="1985" w:type="dxa"/>
            <w:tcBorders>
              <w:bottom w:val="single" w:color="auto" w:sz="4" w:space="0"/>
            </w:tcBorders>
            <w:vAlign w:val="bottom"/>
          </w:tcPr>
          <w:p w:rsidRPr="003D034C" w:rsidR="00692C26" w:rsidP="00871783" w:rsidRDefault="00692C26" w14:paraId="5DD5FBF2" w14:textId="77777777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kk-KZ"/>
              </w:rPr>
            </w:pPr>
            <w:r w:rsidRPr="00EB2DEB">
              <w:rPr>
                <w:b/>
                <w:sz w:val="18"/>
                <w:szCs w:val="18"/>
                <w:lang w:val="kk-KZ"/>
              </w:rPr>
              <w:t>Облигацияларға меншік құқығы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bottom"/>
          </w:tcPr>
          <w:p w:rsidRPr="003D034C" w:rsidR="00692C26" w:rsidP="00871783" w:rsidRDefault="00692C26" w14:paraId="752F575A" w14:textId="77777777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kk-KZ"/>
              </w:rPr>
            </w:pPr>
            <w:r w:rsidRPr="003D034C">
              <w:rPr>
                <w:b/>
                <w:sz w:val="18"/>
                <w:szCs w:val="18"/>
                <w:lang w:val="kk-KZ"/>
              </w:rPr>
              <w:t>ISIN/ CUSIP/</w:t>
            </w:r>
            <w:r>
              <w:rPr>
                <w:b/>
                <w:sz w:val="18"/>
                <w:szCs w:val="18"/>
                <w:lang w:val="kk-KZ"/>
              </w:rPr>
              <w:t>ЖАЛПЫ</w:t>
            </w:r>
            <w:r w:rsidRPr="003D034C">
              <w:rPr>
                <w:b/>
                <w:sz w:val="18"/>
                <w:szCs w:val="18"/>
                <w:lang w:val="kk-KZ"/>
              </w:rPr>
              <w:t xml:space="preserve"> КОД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bottom"/>
          </w:tcPr>
          <w:p w:rsidRPr="003D034C" w:rsidR="00692C26" w:rsidP="00871783" w:rsidRDefault="00692C26" w14:paraId="34371786" w14:textId="77777777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kk-KZ"/>
              </w:rPr>
            </w:pPr>
            <w:r w:rsidRPr="00EB2DEB">
              <w:rPr>
                <w:b/>
                <w:bCs/>
                <w:sz w:val="16"/>
                <w:lang w:val="kk-KZ"/>
              </w:rPr>
              <w:t>Өтелмеген негізгі сома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:rsidRPr="003D034C" w:rsidR="00692C26" w:rsidP="00871783" w:rsidRDefault="00692C26" w14:paraId="408E4506" w14:textId="77777777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  <w:lang w:val="kk-KZ"/>
              </w:rPr>
            </w:pPr>
            <w:r w:rsidRPr="00EB2DEB">
              <w:rPr>
                <w:b/>
                <w:bCs/>
                <w:sz w:val="16"/>
                <w:lang w:val="kk-KZ"/>
              </w:rPr>
              <w:t xml:space="preserve">Тендерлік ұсыныс бойынша сыйақы </w:t>
            </w:r>
            <w:r w:rsidRPr="003D034C">
              <w:rPr>
                <w:b/>
                <w:spacing w:val="-2"/>
                <w:sz w:val="20"/>
                <w:szCs w:val="28"/>
                <w:vertAlign w:val="superscript"/>
                <w:lang w:val="kk-KZ"/>
              </w:rPr>
              <w:t>(1)(2)</w:t>
            </w:r>
          </w:p>
        </w:tc>
        <w:tc>
          <w:tcPr>
            <w:tcW w:w="1419" w:type="dxa"/>
            <w:tcBorders>
              <w:bottom w:val="single" w:color="auto" w:sz="4" w:space="0"/>
            </w:tcBorders>
          </w:tcPr>
          <w:p w:rsidRPr="003D034C" w:rsidR="00692C26" w:rsidP="00871783" w:rsidRDefault="00692C26" w14:paraId="2CFACCC0" w14:textId="77777777">
            <w:pPr>
              <w:pStyle w:val="wText"/>
              <w:keepNext/>
              <w:spacing w:before="0" w:after="0"/>
              <w:jc w:val="left"/>
              <w:rPr>
                <w:b/>
                <w:sz w:val="20"/>
                <w:szCs w:val="28"/>
                <w:lang w:val="kk-KZ"/>
              </w:rPr>
            </w:pPr>
            <w:r w:rsidRPr="00EB2DEB">
              <w:rPr>
                <w:b/>
                <w:sz w:val="16"/>
                <w:lang w:val="kk-KZ"/>
              </w:rPr>
              <w:t>Тендерлік ұсынысқа сәйкес сома</w:t>
            </w:r>
          </w:p>
        </w:tc>
      </w:tr>
      <w:tr w:rsidRPr="003D034C" w:rsidR="00692C26" w:rsidTr="00871783" w14:paraId="0C7C3D74" w14:textId="77777777">
        <w:trPr>
          <w:trHeight w:val="714"/>
        </w:trPr>
        <w:tc>
          <w:tcPr>
            <w:tcW w:w="1985" w:type="dxa"/>
            <w:tcBorders>
              <w:top w:val="single" w:color="auto" w:sz="4" w:space="0"/>
              <w:bottom w:val="nil"/>
            </w:tcBorders>
          </w:tcPr>
          <w:p w:rsidRPr="003D034C" w:rsidR="00692C26" w:rsidP="00871783" w:rsidRDefault="00692C26" w14:paraId="5120C708" w14:textId="77777777">
            <w:pPr>
              <w:pStyle w:val="wText"/>
              <w:jc w:val="left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</w:t>
            </w:r>
            <w:r w:rsidRPr="00EB2DEB">
              <w:rPr>
                <w:sz w:val="18"/>
                <w:szCs w:val="18"/>
                <w:lang w:val="kk-KZ"/>
              </w:rPr>
              <w:t>ҚазМұнайГаз</w:t>
            </w:r>
            <w:r>
              <w:rPr>
                <w:sz w:val="18"/>
                <w:szCs w:val="18"/>
                <w:lang w:val="kk-KZ"/>
              </w:rPr>
              <w:t>»</w:t>
            </w:r>
            <w:r w:rsidRPr="00EB2DEB">
              <w:rPr>
                <w:sz w:val="18"/>
                <w:szCs w:val="18"/>
                <w:lang w:val="kk-KZ"/>
              </w:rPr>
              <w:t xml:space="preserve"> ҰК АҚ шығарған, өтеу мерзімі 2027 жылы 4,750% - бен номиналы 1 000 000 000 АҚШ доллары болатын облигациялар</w:t>
            </w:r>
          </w:p>
        </w:tc>
        <w:tc>
          <w:tcPr>
            <w:tcW w:w="3261" w:type="dxa"/>
            <w:tcBorders>
              <w:top w:val="single" w:color="auto" w:sz="4" w:space="0"/>
              <w:bottom w:val="nil"/>
            </w:tcBorders>
          </w:tcPr>
          <w:p w:rsidRPr="00EB2DEB" w:rsidR="00692C26" w:rsidP="00871783" w:rsidRDefault="00692C26" w14:paraId="71805D23" w14:textId="77777777">
            <w:pPr>
              <w:pStyle w:val="wText"/>
              <w:contextualSpacing/>
              <w:rPr>
                <w:sz w:val="18"/>
                <w:szCs w:val="18"/>
                <w:lang w:val="kk-KZ"/>
              </w:rPr>
            </w:pPr>
            <w:r w:rsidRPr="00EB2DEB">
              <w:rPr>
                <w:sz w:val="18"/>
                <w:szCs w:val="18"/>
                <w:lang w:val="kk-KZ"/>
              </w:rPr>
              <w:t>S ережесі Халықаралық бағалы қағазды сәйкестендіру коды ISIN: XS1595713782</w:t>
            </w:r>
          </w:p>
          <w:p w:rsidRPr="00EB2DEB" w:rsidR="00692C26" w:rsidP="00871783" w:rsidRDefault="00692C26" w14:paraId="648202BF" w14:textId="77777777">
            <w:pPr>
              <w:pStyle w:val="wText"/>
              <w:contextualSpacing/>
              <w:rPr>
                <w:sz w:val="18"/>
                <w:szCs w:val="18"/>
                <w:lang w:val="kk-KZ"/>
              </w:rPr>
            </w:pPr>
            <w:r w:rsidRPr="00EB2DEB">
              <w:rPr>
                <w:sz w:val="18"/>
                <w:szCs w:val="18"/>
                <w:lang w:val="kk-KZ"/>
              </w:rPr>
              <w:t>S ережесі Жалпы коды: 159571378</w:t>
            </w:r>
          </w:p>
          <w:p w:rsidRPr="00EB2DEB" w:rsidR="00692C26" w:rsidP="00871783" w:rsidRDefault="00692C26" w14:paraId="6AB03D1D" w14:textId="77777777">
            <w:pPr>
              <w:pStyle w:val="wText"/>
              <w:contextualSpacing/>
              <w:rPr>
                <w:sz w:val="18"/>
                <w:szCs w:val="18"/>
                <w:lang w:val="kk-KZ"/>
              </w:rPr>
            </w:pPr>
            <w:r w:rsidRPr="00EB2DEB">
              <w:rPr>
                <w:sz w:val="18"/>
                <w:szCs w:val="18"/>
                <w:lang w:val="kk-KZ"/>
              </w:rPr>
              <w:t>ISIN 144A ережесі: US48667QAN51</w:t>
            </w:r>
          </w:p>
          <w:p w:rsidRPr="00EB2DEB" w:rsidR="00692C26" w:rsidP="00871783" w:rsidRDefault="00692C26" w14:paraId="062578AD" w14:textId="77777777">
            <w:pPr>
              <w:pStyle w:val="wText"/>
              <w:contextualSpacing/>
              <w:rPr>
                <w:sz w:val="18"/>
                <w:szCs w:val="18"/>
                <w:lang w:val="kk-KZ"/>
              </w:rPr>
            </w:pPr>
            <w:r w:rsidRPr="00EB2DEB">
              <w:rPr>
                <w:sz w:val="18"/>
                <w:szCs w:val="18"/>
                <w:lang w:val="kk-KZ"/>
              </w:rPr>
              <w:t>144A CUSIP ережесі (</w:t>
            </w:r>
            <w:r>
              <w:rPr>
                <w:sz w:val="18"/>
                <w:szCs w:val="18"/>
                <w:lang w:val="kk-KZ"/>
              </w:rPr>
              <w:t>Б</w:t>
            </w:r>
            <w:r w:rsidRPr="00EB2DEB">
              <w:rPr>
                <w:sz w:val="18"/>
                <w:szCs w:val="18"/>
                <w:lang w:val="kk-KZ"/>
              </w:rPr>
              <w:t xml:space="preserve">ағалы қағаздарға стандартты нөмірлер мен кодтарды тағайындау </w:t>
            </w:r>
            <w:r>
              <w:rPr>
                <w:sz w:val="18"/>
                <w:szCs w:val="18"/>
                <w:lang w:val="kk-KZ"/>
              </w:rPr>
              <w:t>К</w:t>
            </w:r>
            <w:r w:rsidRPr="00EB2DEB">
              <w:rPr>
                <w:sz w:val="18"/>
                <w:szCs w:val="18"/>
                <w:lang w:val="kk-KZ"/>
              </w:rPr>
              <w:t>омитеті): 48667QAN5</w:t>
            </w:r>
          </w:p>
          <w:p w:rsidRPr="003D034C" w:rsidR="00692C26" w:rsidP="00871783" w:rsidRDefault="00692C26" w14:paraId="669330FA" w14:textId="77777777">
            <w:pPr>
              <w:pStyle w:val="wText"/>
              <w:spacing w:before="0" w:after="0"/>
              <w:jc w:val="left"/>
              <w:rPr>
                <w:sz w:val="18"/>
                <w:szCs w:val="18"/>
                <w:lang w:val="kk-KZ"/>
              </w:rPr>
            </w:pPr>
            <w:r w:rsidRPr="00EB2DEB">
              <w:rPr>
                <w:sz w:val="18"/>
                <w:szCs w:val="18"/>
                <w:lang w:val="kk-KZ"/>
              </w:rPr>
              <w:t>144А ережесі Жалпы код</w:t>
            </w:r>
            <w:r>
              <w:rPr>
                <w:sz w:val="18"/>
                <w:szCs w:val="18"/>
                <w:lang w:val="kk-KZ"/>
              </w:rPr>
              <w:t>екс</w:t>
            </w:r>
            <w:r w:rsidRPr="00EB2DEB">
              <w:rPr>
                <w:sz w:val="18"/>
                <w:szCs w:val="18"/>
                <w:lang w:val="kk-KZ"/>
              </w:rPr>
              <w:t>: 159943038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</w:tcPr>
          <w:p w:rsidRPr="003D034C" w:rsidR="00692C26" w:rsidP="00871783" w:rsidRDefault="00692C26" w14:paraId="37CAE680" w14:textId="77777777">
            <w:pPr>
              <w:pStyle w:val="wText"/>
              <w:jc w:val="left"/>
              <w:rPr>
                <w:sz w:val="18"/>
                <w:szCs w:val="18"/>
                <w:lang w:val="kk-KZ"/>
              </w:rPr>
            </w:pPr>
            <w:r w:rsidRPr="003D034C"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3D034C">
              <w:rPr>
                <w:sz w:val="18"/>
                <w:szCs w:val="18"/>
                <w:lang w:val="kk-KZ"/>
              </w:rPr>
              <w:t>000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3D034C">
              <w:rPr>
                <w:sz w:val="18"/>
                <w:szCs w:val="18"/>
                <w:lang w:val="kk-KZ"/>
              </w:rPr>
              <w:t>000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3D034C">
              <w:rPr>
                <w:sz w:val="18"/>
                <w:szCs w:val="18"/>
                <w:lang w:val="kk-KZ"/>
              </w:rPr>
              <w:t xml:space="preserve">000 </w:t>
            </w:r>
            <w:r w:rsidRPr="00EB2DEB">
              <w:rPr>
                <w:sz w:val="16"/>
                <w:lang w:val="kk-KZ"/>
              </w:rPr>
              <w:t>АҚШ доллары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</w:tcPr>
          <w:p w:rsidRPr="003D034C" w:rsidR="00692C26" w:rsidP="00871783" w:rsidRDefault="00692C26" w14:paraId="7DF983C1" w14:textId="77777777">
            <w:pPr>
              <w:pStyle w:val="wText"/>
              <w:jc w:val="left"/>
              <w:rPr>
                <w:sz w:val="18"/>
                <w:szCs w:val="18"/>
                <w:lang w:val="kk-KZ"/>
              </w:rPr>
            </w:pPr>
            <w:r w:rsidRPr="0079543F">
              <w:rPr>
                <w:sz w:val="16"/>
                <w:lang w:val="kk-KZ"/>
              </w:rPr>
              <w:t>1</w:t>
            </w:r>
            <w:r>
              <w:rPr>
                <w:sz w:val="16"/>
                <w:lang w:val="en-GB"/>
              </w:rPr>
              <w:t xml:space="preserve"> </w:t>
            </w:r>
            <w:r w:rsidRPr="0079543F">
              <w:rPr>
                <w:sz w:val="16"/>
                <w:lang w:val="kk-KZ"/>
              </w:rPr>
              <w:t xml:space="preserve">000 </w:t>
            </w:r>
            <w:r w:rsidRPr="00EB2DEB">
              <w:rPr>
                <w:sz w:val="16"/>
                <w:lang w:val="kk-KZ"/>
              </w:rPr>
              <w:t>АҚШ доллары</w:t>
            </w:r>
          </w:p>
        </w:tc>
        <w:tc>
          <w:tcPr>
            <w:tcW w:w="1419" w:type="dxa"/>
            <w:tcBorders>
              <w:top w:val="single" w:color="auto" w:sz="4" w:space="0"/>
              <w:bottom w:val="nil"/>
            </w:tcBorders>
          </w:tcPr>
          <w:p w:rsidRPr="003D034C" w:rsidR="00692C26" w:rsidP="00871783" w:rsidRDefault="00692C26" w14:paraId="68407959" w14:textId="77777777">
            <w:pPr>
              <w:pStyle w:val="wText"/>
              <w:jc w:val="left"/>
              <w:rPr>
                <w:sz w:val="18"/>
                <w:szCs w:val="18"/>
                <w:lang w:val="kk-KZ"/>
              </w:rPr>
            </w:pPr>
            <w:r w:rsidRPr="00EB2DEB">
              <w:rPr>
                <w:sz w:val="16"/>
                <w:lang w:val="kk-KZ"/>
              </w:rPr>
              <w:t>Барлығы ерекшеліксіз</w:t>
            </w:r>
          </w:p>
        </w:tc>
      </w:tr>
    </w:tbl>
    <w:p w:rsidRPr="00A118E8" w:rsidR="00391175" w:rsidP="00237A4A" w:rsidRDefault="00391175" w14:paraId="218DB399" w14:textId="77777777">
      <w:pPr>
        <w:pStyle w:val="wTableFN6"/>
        <w:ind w:left="0" w:firstLine="0"/>
        <w:rPr>
          <w:sz w:val="16"/>
          <w:szCs w:val="28"/>
        </w:rPr>
      </w:pPr>
      <w:r w:rsidRPr="00A118E8">
        <w:rPr>
          <w:sz w:val="16"/>
          <w:szCs w:val="28"/>
        </w:rPr>
        <w:t>__________________________________</w:t>
      </w:r>
    </w:p>
    <w:p w:rsidRPr="009D326E" w:rsidR="00AE069A" w:rsidP="00A118E8" w:rsidRDefault="00391175" w14:paraId="498BEF3A" w14:textId="77777777">
      <w:pPr>
        <w:pStyle w:val="wTableFN6"/>
        <w:rPr>
          <w:sz w:val="16"/>
          <w:szCs w:val="24"/>
          <w:lang w:val="kk-KZ"/>
        </w:rPr>
      </w:pPr>
      <w:r w:rsidRPr="00AE069A">
        <w:rPr>
          <w:sz w:val="16"/>
          <w:szCs w:val="24"/>
        </w:rPr>
        <w:t>(1)</w:t>
      </w:r>
      <w:r w:rsidRPr="00AE069A">
        <w:rPr>
          <w:sz w:val="16"/>
          <w:szCs w:val="24"/>
        </w:rPr>
        <w:tab/>
      </w:r>
      <w:r w:rsidRPr="009D326E" w:rsidR="00AE069A">
        <w:rPr>
          <w:sz w:val="16"/>
          <w:szCs w:val="24"/>
          <w:lang w:val="kk-KZ"/>
        </w:rPr>
        <w:t xml:space="preserve">Төленетін Тендерлік ұсыныс бойынша есеп айырысу күніне дейін Есептелген пайыздарды қамтымайды. </w:t>
      </w:r>
    </w:p>
    <w:p w:rsidRPr="009D326E" w:rsidR="00836C2A" w:rsidP="00A118E8" w:rsidRDefault="00391175" w14:paraId="16ED1EE8" w14:textId="2C1555DE">
      <w:pPr>
        <w:pStyle w:val="wTableFN6"/>
        <w:rPr>
          <w:sz w:val="16"/>
          <w:szCs w:val="24"/>
          <w:lang w:val="kk-KZ"/>
        </w:rPr>
      </w:pPr>
      <w:r w:rsidRPr="009D326E">
        <w:rPr>
          <w:sz w:val="16"/>
          <w:szCs w:val="24"/>
          <w:lang w:val="kk-KZ"/>
        </w:rPr>
        <w:t>(2)</w:t>
      </w:r>
      <w:r w:rsidRPr="009D326E">
        <w:rPr>
          <w:sz w:val="16"/>
          <w:szCs w:val="24"/>
          <w:lang w:val="kk-KZ"/>
        </w:rPr>
        <w:tab/>
      </w:r>
      <w:r w:rsidRPr="009D326E" w:rsidR="00AE069A">
        <w:rPr>
          <w:sz w:val="16"/>
          <w:szCs w:val="24"/>
          <w:lang w:val="kk-KZ"/>
        </w:rPr>
        <w:t>Негізгі қарыздың әрбір 1 000 АҚШ доллары үшін.</w:t>
      </w:r>
    </w:p>
    <w:p w:rsidRPr="00FA3E74" w:rsidR="004244A8" w:rsidP="00A118E8" w:rsidRDefault="004244A8" w14:paraId="7EC78BAF" w14:textId="77777777">
      <w:pPr>
        <w:pStyle w:val="wTableFN6"/>
        <w:rPr>
          <w:rFonts w:cstheme="minorHAnsi"/>
          <w:i/>
          <w:sz w:val="16"/>
          <w:szCs w:val="28"/>
          <w:lang w:val="kk-KZ"/>
        </w:rPr>
      </w:pPr>
    </w:p>
    <w:p w:rsidR="009D326E" w:rsidP="002D47E4" w:rsidRDefault="009D326E" w14:paraId="3B26565A" w14:textId="018C5985">
      <w:pPr>
        <w:spacing w:after="120" w:line="260" w:lineRule="atLeast"/>
        <w:jc w:val="both"/>
        <w:rPr>
          <w:rFonts w:cstheme="minorHAnsi"/>
          <w:color w:val="000000" w:themeColor="text2"/>
          <w:szCs w:val="22"/>
          <w:lang w:val="kk-KZ"/>
        </w:rPr>
      </w:pPr>
      <w:r w:rsidRPr="009D326E">
        <w:rPr>
          <w:rFonts w:cstheme="minorHAnsi"/>
          <w:color w:val="000000" w:themeColor="text2"/>
          <w:szCs w:val="22"/>
          <w:lang w:val="kk-KZ"/>
        </w:rPr>
        <w:t xml:space="preserve">Тендерлік ұсыныстың мерзімі 2024 жылғы 10 қыркүйекте сағат 17:00-де (Нью-Йорк уақыты бойынша) аяқталды. Осымен Ұсынушылар Ұстаушыларға жарамдылық мерзімі аяқталған кезде сауда-саттыққа шығарылған және қайтарып алынбаған Облигациялардың жалпы негізгі сомасы 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>749 907 000</w:t>
      </w:r>
      <w:r w:rsidRPr="009D326E">
        <w:rPr>
          <w:rFonts w:cstheme="minorHAnsi"/>
          <w:color w:val="000000" w:themeColor="text2"/>
          <w:szCs w:val="22"/>
          <w:lang w:val="kk-KZ"/>
        </w:rPr>
        <w:t xml:space="preserve"> АҚШ долларын құрайтынын хабарлайды. </w:t>
      </w:r>
      <w:r w:rsidRPr="00F24565" w:rsidR="00F24565">
        <w:rPr>
          <w:rFonts w:cstheme="minorHAnsi"/>
          <w:color w:val="000000" w:themeColor="text2"/>
          <w:szCs w:val="22"/>
          <w:lang w:val="kk-KZ"/>
        </w:rPr>
        <w:t xml:space="preserve">Сонымен қатар, кепілдендірілген аударым процедураларын қолдана отырып, 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 xml:space="preserve">2 000 000 </w:t>
      </w:r>
      <w:r w:rsidRPr="00F24565" w:rsidR="00F24565">
        <w:rPr>
          <w:rFonts w:cstheme="minorHAnsi"/>
          <w:color w:val="000000" w:themeColor="text2"/>
          <w:szCs w:val="22"/>
          <w:lang w:val="kk-KZ"/>
        </w:rPr>
        <w:t xml:space="preserve">АҚШ доллары көлеміндегі негізгі қарыздың жалпы сомасы ұсынылды. </w:t>
      </w:r>
      <w:r w:rsidRPr="00F24565">
        <w:rPr>
          <w:rFonts w:cstheme="minorHAnsi"/>
          <w:color w:val="000000" w:themeColor="text2"/>
          <w:szCs w:val="22"/>
          <w:lang w:val="kk-KZ"/>
        </w:rPr>
        <w:t>Барлық шарттар орындалды</w:t>
      </w:r>
      <w:r w:rsidRPr="009D326E">
        <w:rPr>
          <w:rFonts w:cstheme="minorHAnsi"/>
          <w:color w:val="000000" w:themeColor="text2"/>
          <w:szCs w:val="22"/>
          <w:lang w:val="kk-KZ"/>
        </w:rPr>
        <w:t xml:space="preserve"> немесе жойылды.</w:t>
      </w:r>
    </w:p>
    <w:p w:rsidR="000635B4" w:rsidP="002D47E4" w:rsidRDefault="00184B53" w14:paraId="2AD0DABE" w14:textId="1A65C9EE">
      <w:pPr>
        <w:spacing w:after="120" w:line="260" w:lineRule="atLeast"/>
        <w:jc w:val="both"/>
        <w:rPr>
          <w:rFonts w:cstheme="minorHAnsi"/>
          <w:color w:val="000000" w:themeColor="text2"/>
          <w:szCs w:val="22"/>
          <w:lang w:val="kk-KZ"/>
        </w:rPr>
      </w:pPr>
      <w:r w:rsidRPr="00184B53">
        <w:rPr>
          <w:rFonts w:cstheme="minorHAnsi"/>
          <w:color w:val="000000" w:themeColor="text2"/>
          <w:szCs w:val="22"/>
          <w:lang w:val="kk-KZ"/>
        </w:rPr>
        <w:t xml:space="preserve">Ұсынушылар заңды түрде ұсынылған және заңды түрде, </w:t>
      </w:r>
      <w:r>
        <w:rPr>
          <w:rFonts w:cstheme="minorHAnsi"/>
          <w:color w:val="000000" w:themeColor="text2"/>
          <w:szCs w:val="22"/>
          <w:lang w:val="kk-KZ"/>
        </w:rPr>
        <w:t>Ж</w:t>
      </w:r>
      <w:r w:rsidRPr="00184B53">
        <w:rPr>
          <w:rFonts w:cstheme="minorHAnsi"/>
          <w:color w:val="000000" w:themeColor="text2"/>
          <w:szCs w:val="22"/>
          <w:lang w:val="kk-KZ"/>
        </w:rPr>
        <w:t xml:space="preserve">арамдылық мерзімі ішінде немесе аяқталғанға дейін қайтарып алынбаған барлық </w:t>
      </w:r>
      <w:r>
        <w:rPr>
          <w:rFonts w:cstheme="minorHAnsi"/>
          <w:color w:val="000000" w:themeColor="text2"/>
          <w:szCs w:val="22"/>
          <w:lang w:val="kk-KZ"/>
        </w:rPr>
        <w:t>О</w:t>
      </w:r>
      <w:r w:rsidRPr="00184B53">
        <w:rPr>
          <w:rFonts w:cstheme="minorHAnsi"/>
          <w:color w:val="000000" w:themeColor="text2"/>
          <w:szCs w:val="22"/>
          <w:lang w:val="kk-KZ"/>
        </w:rPr>
        <w:t>блигацияларды сатып алуға қабылдайды.</w:t>
      </w:r>
      <w:r w:rsidR="005C31F9">
        <w:rPr>
          <w:rFonts w:cstheme="minorHAnsi"/>
          <w:color w:val="000000" w:themeColor="text2"/>
          <w:szCs w:val="22"/>
          <w:lang w:val="kk-KZ"/>
        </w:rPr>
        <w:t xml:space="preserve"> </w:t>
      </w:r>
      <w:r w:rsidR="004C43FB">
        <w:rPr>
          <w:rFonts w:cstheme="minorHAnsi"/>
          <w:color w:val="000000" w:themeColor="text2"/>
          <w:szCs w:val="22"/>
          <w:lang w:val="kk-KZ"/>
        </w:rPr>
        <w:t xml:space="preserve">Эмитент </w:t>
      </w:r>
      <w:r w:rsidR="00992D73">
        <w:rPr>
          <w:rFonts w:cstheme="minorHAnsi"/>
          <w:color w:val="000000" w:themeColor="text2"/>
          <w:szCs w:val="22"/>
          <w:lang w:val="kk-KZ"/>
        </w:rPr>
        <w:t>с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атып алынған </w:t>
      </w:r>
      <w:r w:rsidR="004E31EA">
        <w:rPr>
          <w:rFonts w:cstheme="minorHAnsi"/>
          <w:color w:val="000000" w:themeColor="text2"/>
          <w:szCs w:val="22"/>
          <w:lang w:val="kk-KZ"/>
        </w:rPr>
        <w:t>Облигациялар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 үшін </w:t>
      </w:r>
      <w:r w:rsidR="003D7A83">
        <w:rPr>
          <w:rFonts w:cstheme="minorHAnsi"/>
          <w:color w:val="000000" w:themeColor="text2"/>
          <w:szCs w:val="22"/>
          <w:lang w:val="kk-KZ"/>
        </w:rPr>
        <w:t>т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өлемді </w:t>
      </w:r>
      <w:r w:rsidRPr="00992D73" w:rsidR="00992D73">
        <w:rPr>
          <w:rFonts w:cstheme="minorHAnsi"/>
          <w:color w:val="000000" w:themeColor="text2"/>
          <w:szCs w:val="22"/>
          <w:lang w:val="kk-KZ"/>
        </w:rPr>
        <w:t>Тендерлік ұсыныс бойынша есеп айырысу күні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 және </w:t>
      </w:r>
      <w:r w:rsidRPr="00FE5C70" w:rsidR="00992D73">
        <w:rPr>
          <w:lang w:val="kk-KZ"/>
        </w:rPr>
        <w:t>Кепілді беру бойынша есеп айырысу күні</w:t>
      </w:r>
      <w:r w:rsidRPr="0089538D" w:rsidR="00992D73">
        <w:rPr>
          <w:lang w:val="kk-KZ"/>
        </w:rPr>
        <w:t xml:space="preserve"> 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>(</w:t>
      </w:r>
      <w:r w:rsidR="00CB1FC6">
        <w:rPr>
          <w:rFonts w:cstheme="minorHAnsi"/>
          <w:color w:val="000000" w:themeColor="text2"/>
          <w:szCs w:val="22"/>
          <w:lang w:val="kk-KZ"/>
        </w:rPr>
        <w:t>кепілді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 </w:t>
      </w:r>
      <w:r w:rsidR="00353669">
        <w:rPr>
          <w:rFonts w:cstheme="minorHAnsi"/>
          <w:color w:val="000000" w:themeColor="text2"/>
          <w:szCs w:val="22"/>
          <w:lang w:val="kk-KZ"/>
        </w:rPr>
        <w:t>беру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 процедуралары </w:t>
      </w:r>
      <w:r w:rsidR="003D7A83">
        <w:rPr>
          <w:rFonts w:cstheme="minorHAnsi"/>
          <w:color w:val="000000" w:themeColor="text2"/>
          <w:szCs w:val="22"/>
          <w:lang w:val="kk-KZ"/>
        </w:rPr>
        <w:t>б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ойынша </w:t>
      </w:r>
      <w:r w:rsidR="003D7A83">
        <w:rPr>
          <w:rFonts w:cstheme="minorHAnsi"/>
          <w:color w:val="000000" w:themeColor="text2"/>
          <w:szCs w:val="22"/>
          <w:lang w:val="kk-KZ"/>
        </w:rPr>
        <w:t>ұ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сынылған </w:t>
      </w:r>
      <w:r w:rsidR="003D7A83">
        <w:rPr>
          <w:rFonts w:cstheme="minorHAnsi"/>
          <w:color w:val="000000" w:themeColor="text2"/>
          <w:szCs w:val="22"/>
          <w:lang w:val="kk-KZ"/>
        </w:rPr>
        <w:t>Облигациялар</w:t>
      </w:r>
      <w:r w:rsidRPr="004E31EA" w:rsidR="004E31EA">
        <w:rPr>
          <w:rFonts w:cstheme="minorHAnsi"/>
          <w:color w:val="000000" w:themeColor="text2"/>
          <w:szCs w:val="22"/>
          <w:lang w:val="kk-KZ"/>
        </w:rPr>
        <w:t xml:space="preserve"> жағдайында) 2024 жылдың 12 қыркүйегінде жүзеге асырады.</w:t>
      </w:r>
      <w:r w:rsidR="006C0C46">
        <w:rPr>
          <w:rFonts w:cstheme="minorHAnsi"/>
          <w:color w:val="000000" w:themeColor="text2"/>
          <w:szCs w:val="22"/>
          <w:lang w:val="kk-KZ"/>
        </w:rPr>
        <w:t xml:space="preserve"> 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Қосымша ретінде </w:t>
      </w:r>
      <w:r w:rsidR="00B572F5">
        <w:rPr>
          <w:rFonts w:cstheme="minorHAnsi"/>
          <w:color w:val="000000" w:themeColor="text2"/>
          <w:szCs w:val="22"/>
          <w:lang w:val="kk-KZ"/>
        </w:rPr>
        <w:t>О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блигациялары Тендерлік ұсыныс шеңберінде сатып алынған </w:t>
      </w:r>
      <w:r w:rsidR="00B572F5">
        <w:rPr>
          <w:rFonts w:cstheme="minorHAnsi"/>
          <w:color w:val="000000" w:themeColor="text2"/>
          <w:szCs w:val="22"/>
          <w:lang w:val="kk-KZ"/>
        </w:rPr>
        <w:t>Ұ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стаушыларға тиісті </w:t>
      </w:r>
      <w:r w:rsidR="000635B4">
        <w:rPr>
          <w:rFonts w:cstheme="minorHAnsi"/>
          <w:color w:val="000000" w:themeColor="text2"/>
          <w:szCs w:val="22"/>
          <w:lang w:val="kk-KZ"/>
        </w:rPr>
        <w:t>О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блигациялар немесе </w:t>
      </w:r>
      <w:r w:rsidR="000635B4">
        <w:rPr>
          <w:rFonts w:cstheme="minorHAnsi"/>
          <w:color w:val="000000" w:themeColor="text2"/>
          <w:szCs w:val="22"/>
          <w:lang w:val="kk-KZ"/>
        </w:rPr>
        <w:t>О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блигациялар бойынша есептелген және төленбеген пайыздар Тендерлік ұсыныс бойынша есеп айырысу күнінің алдындағы </w:t>
      </w:r>
      <w:r w:rsidR="000635B4">
        <w:rPr>
          <w:rFonts w:cstheme="minorHAnsi"/>
          <w:color w:val="000000" w:themeColor="text2"/>
          <w:szCs w:val="22"/>
          <w:lang w:val="kk-KZ"/>
        </w:rPr>
        <w:t>О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t xml:space="preserve">блигациялар бойынша пайыздарды төлеу күнінен бастап (бірақ қоспағанда) Тендерлік ұсыныс бойынша есеп айырысу </w:t>
      </w:r>
      <w:r w:rsidRPr="00B572F5" w:rsidR="00B572F5">
        <w:rPr>
          <w:rFonts w:cstheme="minorHAnsi"/>
          <w:color w:val="000000" w:themeColor="text2"/>
          <w:szCs w:val="22"/>
          <w:lang w:val="kk-KZ"/>
        </w:rPr>
        <w:lastRenderedPageBreak/>
        <w:t>күніне дейін төленетін болады.</w:t>
      </w:r>
      <w:r w:rsidR="00584E0B">
        <w:rPr>
          <w:rFonts w:cstheme="minorHAnsi"/>
          <w:color w:val="000000" w:themeColor="text2"/>
          <w:szCs w:val="22"/>
          <w:lang w:val="kk-KZ"/>
        </w:rPr>
        <w:t xml:space="preserve"> </w:t>
      </w:r>
      <w:r w:rsidRPr="000635B4" w:rsidR="000635B4">
        <w:rPr>
          <w:rFonts w:cstheme="minorHAnsi"/>
          <w:color w:val="000000" w:themeColor="text2"/>
          <w:szCs w:val="22"/>
          <w:lang w:val="kk-KZ"/>
        </w:rPr>
        <w:t xml:space="preserve">Кепілді беру рәсімдері пайдаланылған </w:t>
      </w:r>
      <w:r w:rsidR="00FD5E83">
        <w:rPr>
          <w:rFonts w:cstheme="minorHAnsi"/>
          <w:color w:val="000000" w:themeColor="text2"/>
          <w:szCs w:val="22"/>
          <w:lang w:val="kk-KZ"/>
        </w:rPr>
        <w:t>О</w:t>
      </w:r>
      <w:r w:rsidRPr="000635B4" w:rsidR="000635B4">
        <w:rPr>
          <w:rFonts w:cstheme="minorHAnsi"/>
          <w:color w:val="000000" w:themeColor="text2"/>
          <w:szCs w:val="22"/>
          <w:lang w:val="kk-KZ"/>
        </w:rPr>
        <w:t xml:space="preserve">блигациялар жағдайында Тендерлік ұсыныс бойынша есеп айырысу күнінен бастап </w:t>
      </w:r>
      <w:r w:rsidR="00FD5E83">
        <w:rPr>
          <w:rFonts w:cstheme="minorHAnsi"/>
          <w:color w:val="000000" w:themeColor="text2"/>
          <w:szCs w:val="22"/>
          <w:lang w:val="kk-KZ"/>
        </w:rPr>
        <w:t>К</w:t>
      </w:r>
      <w:r w:rsidRPr="000635B4" w:rsidR="000635B4">
        <w:rPr>
          <w:rFonts w:cstheme="minorHAnsi"/>
          <w:color w:val="000000" w:themeColor="text2"/>
          <w:szCs w:val="22"/>
          <w:lang w:val="kk-KZ"/>
        </w:rPr>
        <w:t>епілді беру бойынша есеп айырысу күніне дейінгі кезең үшін қосымша есептелген пайыздар төленбейді.</w:t>
      </w:r>
    </w:p>
    <w:p w:rsidRPr="009D326E" w:rsidR="00FD5E83" w:rsidP="002D47E4" w:rsidRDefault="00FD5E83" w14:paraId="04E9F084" w14:textId="308F330A">
      <w:pPr>
        <w:spacing w:after="120" w:line="260" w:lineRule="atLeast"/>
        <w:jc w:val="both"/>
        <w:rPr>
          <w:rFonts w:cstheme="minorHAnsi"/>
          <w:color w:val="000000" w:themeColor="text2"/>
          <w:szCs w:val="22"/>
          <w:lang w:val="kk-KZ"/>
        </w:rPr>
      </w:pPr>
      <w:r w:rsidRPr="00175AE0">
        <w:rPr>
          <w:rStyle w:val="ezkurwreuab5ozgtqnkl"/>
          <w:lang w:val="kk-KZ"/>
        </w:rPr>
        <w:t xml:space="preserve">Тендерлік ұсыныс </w:t>
      </w:r>
      <w:r w:rsidRPr="00FD5E83">
        <w:rPr>
          <w:rFonts w:cstheme="minorHAnsi"/>
          <w:color w:val="000000" w:themeColor="text2"/>
          <w:szCs w:val="22"/>
          <w:lang w:val="kk-KZ"/>
        </w:rPr>
        <w:t xml:space="preserve">келісілгеннен кейін </w:t>
      </w:r>
      <w:r w:rsidRPr="00175AE0">
        <w:rPr>
          <w:rStyle w:val="ezkurwreuab5ozgtqnkl"/>
          <w:lang w:val="kk-KZ"/>
        </w:rPr>
        <w:t>Тендерлік ұсыныс</w:t>
      </w:r>
      <w:r>
        <w:rPr>
          <w:rStyle w:val="ezkurwreuab5ozgtqnkl"/>
          <w:lang w:val="kk-KZ"/>
        </w:rPr>
        <w:t>қа</w:t>
      </w:r>
      <w:r w:rsidRPr="00175AE0">
        <w:rPr>
          <w:rStyle w:val="ezkurwreuab5ozgtqnkl"/>
          <w:lang w:val="kk-KZ"/>
        </w:rPr>
        <w:t xml:space="preserve"> </w:t>
      </w:r>
      <w:r w:rsidRPr="00FD5E83">
        <w:rPr>
          <w:rFonts w:cstheme="minorHAnsi"/>
          <w:color w:val="000000" w:themeColor="text2"/>
          <w:szCs w:val="22"/>
          <w:lang w:val="kk-KZ"/>
        </w:rPr>
        <w:t>сәйкес сатып алынған Облигациялар жойылады, ал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 xml:space="preserve"> (</w:t>
      </w:r>
      <w:r w:rsidR="009D7F07">
        <w:rPr>
          <w:rFonts w:cstheme="minorHAnsi"/>
          <w:color w:val="000000" w:themeColor="text2"/>
          <w:szCs w:val="22"/>
          <w:lang w:val="kk-KZ"/>
        </w:rPr>
        <w:t>кепілді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 xml:space="preserve"> беру рәсіміне сәйкес </w:t>
      </w:r>
      <w:r w:rsidR="009D7F07">
        <w:rPr>
          <w:rFonts w:cstheme="minorHAnsi"/>
          <w:color w:val="000000" w:themeColor="text2"/>
          <w:szCs w:val="22"/>
          <w:lang w:val="kk-KZ"/>
        </w:rPr>
        <w:t>О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>блигациялардың қолданыстағы ұсынысы болған жағдайда)</w:t>
      </w:r>
      <w:r w:rsidRPr="00FD5E83">
        <w:rPr>
          <w:rFonts w:cstheme="minorHAnsi"/>
          <w:color w:val="000000" w:themeColor="text2"/>
          <w:szCs w:val="22"/>
          <w:lang w:val="kk-KZ"/>
        </w:rPr>
        <w:t xml:space="preserve"> өтелмеген Облигациялардың қалған негізгі сомасы </w:t>
      </w:r>
      <w:r w:rsidRPr="009D7F07" w:rsidR="009D7F07">
        <w:rPr>
          <w:rFonts w:cstheme="minorHAnsi"/>
          <w:color w:val="000000" w:themeColor="text2"/>
          <w:szCs w:val="22"/>
          <w:lang w:val="kk-KZ"/>
        </w:rPr>
        <w:t>248 093 000</w:t>
      </w:r>
      <w:r>
        <w:rPr>
          <w:rFonts w:cstheme="minorHAnsi"/>
          <w:color w:val="000000" w:themeColor="text2"/>
          <w:szCs w:val="22"/>
          <w:lang w:val="kk-KZ"/>
        </w:rPr>
        <w:t xml:space="preserve"> </w:t>
      </w:r>
      <w:r w:rsidRPr="00FD5E83">
        <w:rPr>
          <w:rFonts w:cstheme="minorHAnsi"/>
          <w:color w:val="000000" w:themeColor="text2"/>
          <w:szCs w:val="22"/>
          <w:lang w:val="kk-KZ"/>
        </w:rPr>
        <w:t>АҚШ долларында болады деп күтілуде.</w:t>
      </w:r>
    </w:p>
    <w:p w:rsidRPr="0070212A" w:rsidR="0070212A" w:rsidP="009E1FE2" w:rsidRDefault="0070212A" w14:paraId="1A816F16" w14:textId="7B43857E">
      <w:pPr>
        <w:pStyle w:val="BodyText"/>
        <w:jc w:val="both"/>
        <w:rPr>
          <w:rFonts w:cstheme="minorHAnsi"/>
          <w:szCs w:val="22"/>
          <w:lang w:val="kk-KZ"/>
        </w:rPr>
      </w:pPr>
      <w:r w:rsidRPr="0070212A">
        <w:rPr>
          <w:rFonts w:cstheme="minorHAnsi"/>
          <w:szCs w:val="22"/>
          <w:lang w:val="kk-KZ"/>
        </w:rPr>
        <w:t xml:space="preserve">Осы хабарландыруды «ҚазМұнайГаз» ҰК АҚ атынан Басқарма төрағасының орынбасары Диана Арысова және сенімхат бойынша, KazMunaiGaz Finance Sub B. V. атынан А басқарушы директоры Э. Каролус Отмар мырза жасаған және (2014 жылғы 16 сәуірдегі) 596/2014 </w:t>
      </w:r>
      <w:r w:rsidR="00BF5E84">
        <w:rPr>
          <w:rFonts w:cstheme="minorHAnsi"/>
          <w:szCs w:val="22"/>
          <w:lang w:val="kk-KZ"/>
        </w:rPr>
        <w:t>Р</w:t>
      </w:r>
      <w:r w:rsidRPr="0070212A">
        <w:rPr>
          <w:rFonts w:cstheme="minorHAnsi"/>
          <w:szCs w:val="22"/>
          <w:lang w:val="kk-KZ"/>
        </w:rPr>
        <w:t>егламентіне (ЕО) сәйкес инсайдерлік ақпаратты жария түрде ашуды білдіреді.</w:t>
      </w:r>
    </w:p>
    <w:p w:rsidR="007C2515" w:rsidP="00D5188C" w:rsidRDefault="007C2515" w14:paraId="17D28191" w14:textId="63AC5E57">
      <w:pPr>
        <w:spacing w:line="260" w:lineRule="atLeast"/>
        <w:jc w:val="both"/>
        <w:rPr>
          <w:rFonts w:cstheme="minorHAnsi"/>
          <w:color w:val="000000" w:themeColor="text2"/>
          <w:szCs w:val="22"/>
          <w:lang w:val="kk-KZ"/>
        </w:rPr>
      </w:pPr>
      <w:r w:rsidRPr="007C2515">
        <w:rPr>
          <w:rFonts w:cstheme="minorHAnsi"/>
          <w:color w:val="000000" w:themeColor="text2"/>
          <w:szCs w:val="22"/>
          <w:lang w:val="kk-KZ"/>
        </w:rPr>
        <w:t>Тендерлік ұсыныс және оның жасалған ережелері мен шарттары туралы қосымша ақпарат алу үшін Ұстаушылар Сатып алу ұсынысымен танысуы керек. Тендерлік ұсынысқа байланысты көмек сұрақтары мен сұраулары Дилер-менеджерлерге және Тендерлік және Ақпараттық Агентке жіберілуі мүмкін.</w:t>
      </w:r>
    </w:p>
    <w:p w:rsidRPr="003D034C" w:rsidR="00D55B83" w:rsidP="00DA7A3D" w:rsidRDefault="00D55B83" w14:paraId="610B101B" w14:textId="71DD4C49">
      <w:pPr>
        <w:pStyle w:val="BodyText"/>
        <w:pageBreakBefore/>
        <w:jc w:val="center"/>
        <w:rPr>
          <w:b/>
          <w:bCs/>
          <w:sz w:val="20"/>
          <w:lang w:val="kk-KZ"/>
        </w:rPr>
      </w:pPr>
      <w:r>
        <w:rPr>
          <w:b/>
          <w:bCs/>
          <w:sz w:val="20"/>
          <w:lang w:val="kk-KZ"/>
        </w:rPr>
        <w:lastRenderedPageBreak/>
        <w:t>ҰСЫНУШЫЛАР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Pr="004A744E" w:rsidR="003533DD" w:rsidTr="00DE6625" w14:paraId="48DBE318" w14:textId="77777777">
        <w:trPr>
          <w:trHeight w:val="1478"/>
        </w:trPr>
        <w:tc>
          <w:tcPr>
            <w:tcW w:w="4508" w:type="dxa"/>
          </w:tcPr>
          <w:p w:rsidRPr="003D034C" w:rsidR="003533DD" w:rsidP="003533DD" w:rsidRDefault="003533DD" w14:paraId="1BB6E295" w14:textId="77777777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3D034C">
              <w:rPr>
                <w:b/>
                <w:sz w:val="20"/>
                <w:szCs w:val="20"/>
                <w:lang w:val="kk-KZ"/>
              </w:rPr>
              <w:t>«</w:t>
            </w:r>
            <w:r w:rsidRPr="00A73D57">
              <w:rPr>
                <w:b/>
                <w:sz w:val="20"/>
                <w:szCs w:val="20"/>
                <w:lang w:val="kk-KZ"/>
              </w:rPr>
              <w:t>ҚАЗМҰНАЙГАЗ</w:t>
            </w:r>
            <w:r w:rsidRPr="003D034C">
              <w:rPr>
                <w:b/>
                <w:sz w:val="20"/>
                <w:szCs w:val="20"/>
                <w:lang w:val="kk-KZ"/>
              </w:rPr>
              <w:t xml:space="preserve">» </w:t>
            </w:r>
            <w:r>
              <w:rPr>
                <w:b/>
                <w:sz w:val="20"/>
                <w:szCs w:val="20"/>
                <w:lang w:val="kk-KZ"/>
              </w:rPr>
              <w:t>ҰК АҚ</w:t>
            </w:r>
          </w:p>
          <w:p w:rsidRPr="003D034C" w:rsidR="003533DD" w:rsidP="003533DD" w:rsidRDefault="003533DD" w14:paraId="521F3190" w14:textId="77777777">
            <w:pPr>
              <w:pStyle w:val="wText1"/>
              <w:spacing w:before="0"/>
              <w:ind w:left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Қонаев көшесі</w:t>
            </w:r>
            <w:r w:rsidRPr="003D034C">
              <w:rPr>
                <w:sz w:val="20"/>
                <w:szCs w:val="20"/>
                <w:lang w:val="kk-KZ"/>
              </w:rPr>
              <w:t xml:space="preserve"> 8, </w:t>
            </w:r>
            <w:r w:rsidRPr="003D034C">
              <w:rPr>
                <w:sz w:val="20"/>
                <w:szCs w:val="20"/>
                <w:lang w:val="kk-KZ"/>
              </w:rPr>
              <w:br/>
              <w:t>Астана 010000</w:t>
            </w:r>
            <w:r w:rsidRPr="003D034C">
              <w:rPr>
                <w:sz w:val="20"/>
                <w:szCs w:val="20"/>
                <w:lang w:val="kk-KZ"/>
              </w:rPr>
              <w:br/>
            </w:r>
            <w:r>
              <w:rPr>
                <w:sz w:val="20"/>
                <w:szCs w:val="20"/>
                <w:lang w:val="kk-KZ"/>
              </w:rPr>
              <w:t>Қазақстан</w:t>
            </w:r>
          </w:p>
          <w:p w:rsidRPr="00FA3E74" w:rsidR="003533DD" w:rsidP="003533DD" w:rsidRDefault="003533DD" w14:paraId="49F79F82" w14:textId="77777777">
            <w:pPr>
              <w:pStyle w:val="wText1"/>
              <w:ind w:left="0"/>
              <w:jc w:val="center"/>
              <w:rPr>
                <w:b/>
                <w:lang w:val="kk-KZ"/>
              </w:rPr>
            </w:pPr>
          </w:p>
        </w:tc>
        <w:tc>
          <w:tcPr>
            <w:tcW w:w="4509" w:type="dxa"/>
          </w:tcPr>
          <w:p w:rsidRPr="003D034C" w:rsidR="003533DD" w:rsidP="003533DD" w:rsidRDefault="003533DD" w14:paraId="11BD4D70" w14:textId="77777777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3D034C">
              <w:rPr>
                <w:b/>
                <w:sz w:val="20"/>
                <w:szCs w:val="20"/>
                <w:lang w:val="kk-KZ"/>
              </w:rPr>
              <w:t>КОМПАНИЯ «KAZMUNAIGAZ FINANCE SUB B.V.</w:t>
            </w:r>
          </w:p>
          <w:p w:rsidRPr="003D034C" w:rsidR="003533DD" w:rsidP="003533DD" w:rsidRDefault="003533DD" w14:paraId="26507949" w14:textId="77777777">
            <w:pPr>
              <w:pStyle w:val="wText1"/>
              <w:spacing w:before="0"/>
              <w:ind w:left="0"/>
              <w:jc w:val="center"/>
              <w:rPr>
                <w:color w:val="000000" w:themeColor="text2"/>
                <w:sz w:val="20"/>
                <w:szCs w:val="20"/>
                <w:lang w:val="kk-KZ"/>
              </w:rPr>
            </w:pPr>
            <w:r w:rsidRPr="003D034C">
              <w:rPr>
                <w:sz w:val="20"/>
                <w:szCs w:val="20"/>
                <w:lang w:val="kk-KZ"/>
              </w:rPr>
              <w:t xml:space="preserve">Strawinskylaan 723 (WTC Tower A, 7 </w:t>
            </w:r>
            <w:r>
              <w:rPr>
                <w:sz w:val="20"/>
                <w:szCs w:val="20"/>
                <w:lang w:val="kk-KZ"/>
              </w:rPr>
              <w:t>қабат</w:t>
            </w:r>
            <w:r w:rsidRPr="003D034C">
              <w:rPr>
                <w:sz w:val="20"/>
                <w:szCs w:val="20"/>
                <w:lang w:val="kk-KZ"/>
              </w:rPr>
              <w:t>)</w:t>
            </w:r>
            <w:r w:rsidRPr="003D034C">
              <w:rPr>
                <w:sz w:val="20"/>
                <w:szCs w:val="20"/>
                <w:lang w:val="kk-KZ"/>
              </w:rPr>
              <w:br/>
              <w:t>1077 XX Амстердам</w:t>
            </w:r>
            <w:r w:rsidRPr="003D034C">
              <w:rPr>
                <w:sz w:val="20"/>
                <w:szCs w:val="20"/>
                <w:lang w:val="kk-KZ"/>
              </w:rPr>
              <w:br/>
              <w:t>Нидерланды</w:t>
            </w:r>
          </w:p>
          <w:p w:rsidRPr="00FA3E74" w:rsidR="003533DD" w:rsidP="003533DD" w:rsidRDefault="003533DD" w14:paraId="3BAF22EE" w14:textId="77777777">
            <w:pPr>
              <w:pStyle w:val="wText1"/>
              <w:ind w:left="0"/>
              <w:jc w:val="center"/>
              <w:rPr>
                <w:b/>
                <w:lang w:val="kk-KZ"/>
              </w:rPr>
            </w:pPr>
          </w:p>
        </w:tc>
      </w:tr>
    </w:tbl>
    <w:p w:rsidRPr="003D034C" w:rsidR="003533DD" w:rsidP="003533DD" w:rsidRDefault="003533DD" w14:paraId="304B9093" w14:textId="77777777">
      <w:pPr>
        <w:pStyle w:val="BodyText"/>
        <w:spacing w:before="240"/>
        <w:jc w:val="center"/>
        <w:rPr>
          <w:b/>
          <w:bCs/>
          <w:sz w:val="20"/>
          <w:lang w:val="kk-KZ"/>
        </w:rPr>
      </w:pPr>
      <w:r w:rsidRPr="003D034C">
        <w:rPr>
          <w:b/>
          <w:bCs/>
          <w:sz w:val="20"/>
          <w:lang w:val="kk-KZ"/>
        </w:rPr>
        <w:t>ДИЛЕР-МЕНЕДЖЕР</w:t>
      </w:r>
      <w:r>
        <w:rPr>
          <w:b/>
          <w:bCs/>
          <w:sz w:val="20"/>
          <w:lang w:val="kk-KZ"/>
        </w:rPr>
        <w:t>ЛЕР</w:t>
      </w:r>
    </w:p>
    <w:tbl>
      <w:tblPr>
        <w:tblStyle w:val="TableGrid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3533DD" w:rsidTr="00E91086" w14:paraId="5D1BD254" w14:textId="77777777">
        <w:tc>
          <w:tcPr>
            <w:tcW w:w="3402" w:type="dxa"/>
          </w:tcPr>
          <w:p w:rsidRPr="00FA3E74" w:rsidR="003533DD" w:rsidP="003533DD" w:rsidRDefault="003533DD" w14:paraId="45263EDC" w14:textId="1B915E1E">
            <w:pPr>
              <w:pStyle w:val="wText"/>
              <w:jc w:val="center"/>
              <w:rPr>
                <w:lang w:val="kk-KZ"/>
              </w:rPr>
            </w:pPr>
            <w:r w:rsidRPr="003D034C">
              <w:rPr>
                <w:rFonts w:eastAsia="MS Mincho"/>
                <w:b/>
                <w:bCs/>
                <w:sz w:val="20"/>
                <w:lang w:val="kk-KZ"/>
              </w:rPr>
              <w:t>Citigroup Global Markets Limited</w:t>
            </w:r>
            <w:r w:rsidRPr="003D034C">
              <w:rPr>
                <w:rFonts w:eastAsia="MS Mincho"/>
                <w:b/>
                <w:bCs/>
                <w:sz w:val="20"/>
                <w:lang w:val="kk-KZ"/>
              </w:rPr>
              <w:br/>
            </w:r>
            <w:r w:rsidRPr="003D034C">
              <w:rPr>
                <w:rFonts w:eastAsia="MS Mincho"/>
                <w:sz w:val="20"/>
                <w:lang w:val="kk-KZ"/>
              </w:rPr>
              <w:t xml:space="preserve">Citigroup Centre </w:t>
            </w:r>
            <w:r w:rsidRPr="003D034C">
              <w:rPr>
                <w:rFonts w:eastAsia="MS Mincho"/>
                <w:sz w:val="20"/>
                <w:lang w:val="kk-KZ"/>
              </w:rPr>
              <w:br/>
              <w:t xml:space="preserve">Canada Square </w:t>
            </w:r>
            <w:r w:rsidRPr="003D034C">
              <w:rPr>
                <w:rFonts w:eastAsia="MS Mincho"/>
                <w:sz w:val="20"/>
                <w:lang w:val="kk-KZ"/>
              </w:rPr>
              <w:br/>
              <w:t xml:space="preserve">Canary Wharf </w:t>
            </w:r>
            <w:r w:rsidRPr="003D034C">
              <w:rPr>
                <w:rFonts w:eastAsia="MS Mincho"/>
                <w:sz w:val="20"/>
                <w:lang w:val="kk-KZ"/>
              </w:rPr>
              <w:br/>
              <w:t xml:space="preserve">Лондон E14 5LB </w:t>
            </w:r>
            <w:r w:rsidRPr="003D034C">
              <w:rPr>
                <w:rFonts w:eastAsia="MS Mincho"/>
                <w:sz w:val="20"/>
                <w:lang w:val="kk-KZ"/>
              </w:rPr>
              <w:br/>
            </w:r>
            <w:r>
              <w:rPr>
                <w:rFonts w:eastAsia="MS Mincho"/>
                <w:sz w:val="20"/>
                <w:lang w:val="kk-KZ"/>
              </w:rPr>
              <w:t>Біріккен Патшалық</w:t>
            </w:r>
            <w:r w:rsidRPr="003D034C">
              <w:rPr>
                <w:rFonts w:eastAsia="MS Mincho"/>
                <w:sz w:val="20"/>
                <w:lang w:val="kk-KZ"/>
              </w:rPr>
              <w:t xml:space="preserve"> </w:t>
            </w:r>
            <w:r w:rsidRPr="003D034C">
              <w:rPr>
                <w:rFonts w:eastAsia="MS Mincho"/>
                <w:sz w:val="20"/>
                <w:lang w:val="kk-KZ"/>
              </w:rPr>
              <w:br/>
              <w:t xml:space="preserve">Телефон: +44 20 7986 8969 </w:t>
            </w:r>
            <w:r w:rsidRPr="003D034C">
              <w:rPr>
                <w:rFonts w:eastAsia="MS Mincho"/>
                <w:sz w:val="20"/>
                <w:lang w:val="kk-KZ"/>
              </w:rPr>
              <w:br/>
            </w:r>
            <w:r w:rsidRPr="00E646FD">
              <w:rPr>
                <w:rFonts w:eastAsia="MS Mincho"/>
                <w:sz w:val="20"/>
                <w:lang w:val="kk-KZ"/>
              </w:rPr>
              <w:t>Электрондық пошта</w:t>
            </w:r>
            <w:r w:rsidRPr="003D034C">
              <w:rPr>
                <w:rFonts w:eastAsia="MS Mincho"/>
                <w:sz w:val="20"/>
                <w:lang w:val="kk-KZ"/>
              </w:rPr>
              <w:t xml:space="preserve">: </w:t>
            </w:r>
            <w:hyperlink w:history="1" r:id="rId11">
              <w:r w:rsidRPr="003D034C">
                <w:rPr>
                  <w:rFonts w:eastAsia="MS Mincho"/>
                  <w:color w:val="0000FF"/>
                  <w:sz w:val="20"/>
                  <w:u w:val="single"/>
                  <w:lang w:val="kk-KZ"/>
                </w:rPr>
                <w:t>liabilitymanagement.europe@citi.com</w:t>
              </w:r>
            </w:hyperlink>
            <w:r w:rsidRPr="003D034C">
              <w:rPr>
                <w:rFonts w:eastAsia="MS Mincho"/>
                <w:sz w:val="20"/>
                <w:lang w:val="kk-KZ"/>
              </w:rPr>
              <w:t xml:space="preserve"> Liability Management Group</w:t>
            </w:r>
            <w:r>
              <w:rPr>
                <w:rFonts w:eastAsia="MS Mincho"/>
                <w:sz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назарына</w:t>
            </w:r>
          </w:p>
        </w:tc>
        <w:tc>
          <w:tcPr>
            <w:tcW w:w="3119" w:type="dxa"/>
          </w:tcPr>
          <w:p w:rsidRPr="00FA3E74" w:rsidR="003533DD" w:rsidP="003533DD" w:rsidRDefault="003533DD" w14:paraId="6746628C" w14:textId="1AA4E624">
            <w:pPr>
              <w:pStyle w:val="wText"/>
              <w:jc w:val="center"/>
              <w:rPr>
                <w:lang w:val="kk-KZ"/>
              </w:rPr>
            </w:pPr>
            <w:r w:rsidRPr="003D034C">
              <w:rPr>
                <w:b/>
                <w:sz w:val="20"/>
                <w:szCs w:val="20"/>
                <w:lang w:val="kk-KZ"/>
              </w:rPr>
              <w:t>J.P.</w:t>
            </w:r>
            <w:r w:rsidRPr="003D034C">
              <w:rPr>
                <w:spacing w:val="-13"/>
                <w:sz w:val="20"/>
                <w:szCs w:val="20"/>
                <w:lang w:val="kk-KZ"/>
              </w:rPr>
              <w:t xml:space="preserve"> </w:t>
            </w:r>
            <w:r w:rsidRPr="003D034C">
              <w:rPr>
                <w:b/>
                <w:sz w:val="20"/>
                <w:szCs w:val="20"/>
                <w:lang w:val="kk-KZ"/>
              </w:rPr>
              <w:t>Morgan Securities plc</w:t>
            </w:r>
            <w:r w:rsidRPr="003D034C">
              <w:rPr>
                <w:sz w:val="20"/>
                <w:szCs w:val="20"/>
                <w:lang w:val="kk-KZ"/>
              </w:rPr>
              <w:br/>
              <w:t>25 Bank Street</w:t>
            </w:r>
            <w:r w:rsidRPr="003D034C">
              <w:rPr>
                <w:spacing w:val="40"/>
                <w:sz w:val="20"/>
                <w:szCs w:val="20"/>
                <w:lang w:val="kk-KZ"/>
              </w:rPr>
              <w:br/>
            </w:r>
            <w:r w:rsidRPr="003D034C">
              <w:rPr>
                <w:sz w:val="20"/>
                <w:szCs w:val="20"/>
                <w:lang w:val="kk-KZ"/>
              </w:rPr>
              <w:t>Canary Wharf</w:t>
            </w:r>
            <w:r w:rsidRPr="003D034C">
              <w:rPr>
                <w:spacing w:val="40"/>
                <w:sz w:val="20"/>
                <w:szCs w:val="20"/>
                <w:lang w:val="kk-KZ"/>
              </w:rPr>
              <w:br/>
            </w:r>
            <w:r w:rsidRPr="003D034C">
              <w:rPr>
                <w:sz w:val="20"/>
                <w:szCs w:val="20"/>
                <w:lang w:val="kk-KZ"/>
              </w:rPr>
              <w:t>Лондон E14 5JP</w:t>
            </w:r>
            <w:r w:rsidRPr="003D034C">
              <w:rPr>
                <w:sz w:val="20"/>
                <w:szCs w:val="20"/>
                <w:lang w:val="kk-KZ"/>
              </w:rPr>
              <w:br/>
            </w:r>
            <w:r>
              <w:rPr>
                <w:rFonts w:eastAsia="MS Mincho"/>
                <w:sz w:val="20"/>
                <w:lang w:val="kk-KZ"/>
              </w:rPr>
              <w:t>Біріккен Патшалық</w:t>
            </w:r>
            <w:r w:rsidRPr="003D034C">
              <w:rPr>
                <w:sz w:val="20"/>
                <w:szCs w:val="20"/>
                <w:lang w:val="kk-KZ"/>
              </w:rPr>
              <w:br/>
            </w:r>
            <w:r w:rsidRPr="003D034C">
              <w:rPr>
                <w:rFonts w:eastAsia="MS Mincho"/>
                <w:sz w:val="20"/>
                <w:lang w:val="kk-KZ"/>
              </w:rPr>
              <w:t>Телефон</w:t>
            </w:r>
            <w:r w:rsidRPr="003D034C">
              <w:rPr>
                <w:sz w:val="20"/>
                <w:szCs w:val="20"/>
                <w:lang w:val="kk-KZ"/>
              </w:rPr>
              <w:t>: +44 20 7134 2468</w:t>
            </w:r>
            <w:r w:rsidRPr="003D034C">
              <w:rPr>
                <w:sz w:val="20"/>
                <w:szCs w:val="20"/>
                <w:lang w:val="kk-KZ"/>
              </w:rPr>
              <w:br/>
            </w:r>
            <w:r w:rsidRPr="00E646FD">
              <w:rPr>
                <w:rFonts w:eastAsia="MS Mincho"/>
                <w:sz w:val="20"/>
                <w:lang w:val="kk-KZ"/>
              </w:rPr>
              <w:t>Электрондық пошта</w:t>
            </w:r>
            <w:r w:rsidRPr="003D034C">
              <w:rPr>
                <w:sz w:val="20"/>
                <w:szCs w:val="20"/>
                <w:lang w:val="kk-KZ"/>
              </w:rPr>
              <w:t>:</w:t>
            </w:r>
            <w:r w:rsidRPr="003D034C">
              <w:rPr>
                <w:spacing w:val="-13"/>
                <w:sz w:val="20"/>
                <w:szCs w:val="20"/>
                <w:lang w:val="kk-KZ"/>
              </w:rPr>
              <w:t xml:space="preserve"> </w:t>
            </w:r>
            <w:hyperlink w:history="1" r:id="rId12">
              <w:r w:rsidRPr="003D034C">
                <w:rPr>
                  <w:rStyle w:val="Hyperlink"/>
                  <w:sz w:val="20"/>
                  <w:szCs w:val="20"/>
                  <w:lang w:val="kk-KZ"/>
                </w:rPr>
                <w:t>em_europe_lm@jpmorgan.com</w:t>
              </w:r>
            </w:hyperlink>
            <w:r w:rsidRPr="003D034C">
              <w:rPr>
                <w:sz w:val="20"/>
                <w:szCs w:val="20"/>
                <w:lang w:val="kk-KZ"/>
              </w:rPr>
              <w:t xml:space="preserve"> Liability Management</w:t>
            </w:r>
            <w:r>
              <w:rPr>
                <w:sz w:val="20"/>
                <w:szCs w:val="20"/>
                <w:lang w:val="kk-KZ"/>
              </w:rPr>
              <w:t xml:space="preserve"> назарына</w:t>
            </w:r>
          </w:p>
        </w:tc>
        <w:tc>
          <w:tcPr>
            <w:tcW w:w="3118" w:type="dxa"/>
          </w:tcPr>
          <w:p w:rsidRPr="003D034C" w:rsidR="003533DD" w:rsidP="003533DD" w:rsidRDefault="003533DD" w14:paraId="640701B2" w14:textId="77777777">
            <w:pPr>
              <w:pStyle w:val="wText"/>
              <w:spacing w:after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D034C">
              <w:rPr>
                <w:b/>
                <w:bCs/>
                <w:sz w:val="20"/>
                <w:szCs w:val="20"/>
                <w:lang w:val="kk-KZ"/>
              </w:rPr>
              <w:t>J.P. Morgan SE</w:t>
            </w:r>
          </w:p>
          <w:p w:rsidRPr="003D034C" w:rsidR="003533DD" w:rsidP="003533DD" w:rsidRDefault="003533DD" w14:paraId="7BD8F1A9" w14:textId="77777777">
            <w:pPr>
              <w:keepNext/>
              <w:jc w:val="center"/>
              <w:rPr>
                <w:sz w:val="20"/>
                <w:szCs w:val="20"/>
                <w:lang w:val="kk-KZ"/>
              </w:rPr>
            </w:pPr>
            <w:r w:rsidRPr="003D034C">
              <w:rPr>
                <w:sz w:val="20"/>
                <w:szCs w:val="20"/>
                <w:lang w:val="kk-KZ"/>
              </w:rPr>
              <w:t>Taunustor 1 (TaunusTurm)</w:t>
            </w:r>
          </w:p>
          <w:p w:rsidRPr="003D034C" w:rsidR="003533DD" w:rsidP="003533DD" w:rsidRDefault="003533DD" w14:paraId="4CBBE518" w14:textId="77777777">
            <w:pPr>
              <w:keepNext/>
              <w:jc w:val="center"/>
              <w:rPr>
                <w:sz w:val="20"/>
                <w:szCs w:val="20"/>
                <w:lang w:val="kk-KZ"/>
              </w:rPr>
            </w:pPr>
            <w:r w:rsidRPr="003D034C">
              <w:rPr>
                <w:sz w:val="20"/>
                <w:szCs w:val="20"/>
                <w:lang w:val="kk-KZ"/>
              </w:rPr>
              <w:t>60310 Франкфурт</w:t>
            </w:r>
          </w:p>
          <w:p w:rsidRPr="003D034C" w:rsidR="003533DD" w:rsidP="003533DD" w:rsidRDefault="003533DD" w14:paraId="5F509791" w14:textId="77777777">
            <w:pPr>
              <w:keepNext/>
              <w:jc w:val="center"/>
              <w:rPr>
                <w:sz w:val="20"/>
                <w:szCs w:val="20"/>
                <w:lang w:val="kk-KZ"/>
              </w:rPr>
            </w:pPr>
            <w:r w:rsidRPr="003D034C">
              <w:rPr>
                <w:sz w:val="20"/>
                <w:szCs w:val="20"/>
                <w:lang w:val="kk-KZ"/>
              </w:rPr>
              <w:t>Германия</w:t>
            </w:r>
          </w:p>
          <w:p w:rsidRPr="003D034C" w:rsidR="003533DD" w:rsidP="003533DD" w:rsidRDefault="003533DD" w14:paraId="31D38B50" w14:textId="77777777">
            <w:pPr>
              <w:pStyle w:val="wText"/>
              <w:spacing w:after="0"/>
              <w:jc w:val="center"/>
              <w:rPr>
                <w:bCs/>
                <w:sz w:val="20"/>
                <w:szCs w:val="20"/>
                <w:lang w:val="kk-KZ"/>
              </w:rPr>
            </w:pPr>
            <w:r w:rsidRPr="00E646FD">
              <w:rPr>
                <w:rFonts w:eastAsia="MS Mincho"/>
                <w:sz w:val="20"/>
                <w:lang w:val="kk-KZ"/>
              </w:rPr>
              <w:t>Электрондық пошта</w:t>
            </w:r>
            <w:r w:rsidRPr="003D034C">
              <w:rPr>
                <w:bCs/>
                <w:sz w:val="20"/>
                <w:szCs w:val="20"/>
                <w:lang w:val="kk-KZ"/>
              </w:rPr>
              <w:t xml:space="preserve">: </w:t>
            </w:r>
            <w:hyperlink w:history="1" r:id="rId13">
              <w:r w:rsidRPr="003D034C">
                <w:rPr>
                  <w:rStyle w:val="Hyperlink"/>
                  <w:bCs/>
                  <w:sz w:val="20"/>
                  <w:szCs w:val="20"/>
                  <w:lang w:val="kk-KZ"/>
                </w:rPr>
                <w:t>em_europe_lm@jpmorgan.com</w:t>
              </w:r>
            </w:hyperlink>
          </w:p>
          <w:p w:rsidR="003533DD" w:rsidP="003533DD" w:rsidRDefault="003533DD" w14:paraId="20FB2088" w14:textId="1B945CA6">
            <w:pPr>
              <w:pStyle w:val="wText"/>
              <w:jc w:val="center"/>
            </w:pPr>
            <w:r w:rsidRPr="003D034C">
              <w:rPr>
                <w:bCs/>
                <w:sz w:val="20"/>
                <w:szCs w:val="20"/>
                <w:lang w:val="kk-KZ"/>
              </w:rPr>
              <w:t>Liability Management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назарына</w:t>
            </w:r>
          </w:p>
        </w:tc>
      </w:tr>
    </w:tbl>
    <w:p w:rsidR="00AA61FF" w:rsidP="00AA61FF" w:rsidRDefault="00AA61FF" w14:paraId="526973F7" w14:textId="77777777">
      <w:pPr>
        <w:jc w:val="center"/>
        <w:rPr>
          <w:b/>
        </w:rPr>
      </w:pPr>
    </w:p>
    <w:p w:rsidRPr="003D034C" w:rsidR="003533DD" w:rsidP="003533DD" w:rsidRDefault="003533DD" w14:paraId="7FEA187E" w14:textId="77777777">
      <w:pPr>
        <w:pStyle w:val="wCenter"/>
        <w:spacing w:before="240" w:after="0"/>
        <w:rPr>
          <w:rFonts w:eastAsia="Times New Roman"/>
          <w:b/>
          <w:bCs/>
          <w:iCs/>
          <w:color w:val="000000" w:themeColor="text2"/>
          <w:lang w:val="kk-KZ"/>
        </w:rPr>
      </w:pPr>
      <w:r w:rsidRPr="008F5873">
        <w:rPr>
          <w:rFonts w:eastAsia="Times New Roman"/>
          <w:b/>
          <w:bCs/>
          <w:iCs/>
          <w:color w:val="000000" w:themeColor="text2"/>
          <w:lang w:val="kk-KZ"/>
        </w:rPr>
        <w:t>ТЕНДЕРЛІК ЖӘНЕ АҚПАРАТТЫҚ АГЕНТ</w:t>
      </w:r>
    </w:p>
    <w:p w:rsidRPr="003D034C" w:rsidR="003533DD" w:rsidP="003533DD" w:rsidRDefault="003533DD" w14:paraId="52BAA570" w14:textId="77777777">
      <w:pPr>
        <w:pStyle w:val="wCenter"/>
        <w:spacing w:after="0"/>
        <w:rPr>
          <w:lang w:val="kk-KZ"/>
        </w:rPr>
      </w:pPr>
      <w:r w:rsidRPr="003D034C">
        <w:rPr>
          <w:rFonts w:eastAsia="Times New Roman"/>
          <w:i/>
          <w:color w:val="000000" w:themeColor="text2"/>
          <w:lang w:val="kk-KZ"/>
        </w:rPr>
        <w:br/>
      </w:r>
      <w:r w:rsidRPr="003D034C">
        <w:rPr>
          <w:b/>
          <w:bCs/>
          <w:lang w:val="kk-KZ"/>
        </w:rPr>
        <w:t>Kroll</w:t>
      </w:r>
      <w:r w:rsidRPr="003D034C">
        <w:rPr>
          <w:b/>
          <w:bCs/>
          <w:spacing w:val="-2"/>
          <w:lang w:val="kk-KZ"/>
        </w:rPr>
        <w:t xml:space="preserve"> </w:t>
      </w:r>
      <w:r w:rsidRPr="003D034C">
        <w:rPr>
          <w:b/>
          <w:bCs/>
          <w:lang w:val="kk-KZ"/>
        </w:rPr>
        <w:t>Issuer</w:t>
      </w:r>
      <w:r w:rsidRPr="003D034C">
        <w:rPr>
          <w:b/>
          <w:bCs/>
          <w:spacing w:val="-2"/>
          <w:lang w:val="kk-KZ"/>
        </w:rPr>
        <w:t xml:space="preserve"> </w:t>
      </w:r>
      <w:r w:rsidRPr="003D034C">
        <w:rPr>
          <w:b/>
          <w:bCs/>
          <w:lang w:val="kk-KZ"/>
        </w:rPr>
        <w:t>Services</w:t>
      </w:r>
      <w:r w:rsidRPr="003D034C">
        <w:rPr>
          <w:b/>
          <w:bCs/>
          <w:spacing w:val="-1"/>
          <w:lang w:val="kk-KZ"/>
        </w:rPr>
        <w:t xml:space="preserve"> </w:t>
      </w:r>
      <w:r w:rsidRPr="003D034C">
        <w:rPr>
          <w:b/>
          <w:bCs/>
          <w:spacing w:val="-2"/>
          <w:lang w:val="kk-KZ"/>
        </w:rPr>
        <w:t>Limited</w:t>
      </w:r>
      <w:r w:rsidRPr="003D034C">
        <w:rPr>
          <w:b/>
          <w:bCs/>
          <w:spacing w:val="-2"/>
          <w:lang w:val="kk-KZ"/>
        </w:rPr>
        <w:br/>
      </w:r>
      <w:r w:rsidRPr="003D034C">
        <w:rPr>
          <w:lang w:val="kk-KZ"/>
        </w:rPr>
        <w:t>The</w:t>
      </w:r>
      <w:r w:rsidRPr="003D034C">
        <w:rPr>
          <w:spacing w:val="-1"/>
          <w:lang w:val="kk-KZ"/>
        </w:rPr>
        <w:t xml:space="preserve"> </w:t>
      </w:r>
      <w:r w:rsidRPr="003D034C">
        <w:rPr>
          <w:spacing w:val="-2"/>
          <w:lang w:val="kk-KZ"/>
        </w:rPr>
        <w:t>Shard</w:t>
      </w:r>
      <w:r w:rsidRPr="003D034C">
        <w:rPr>
          <w:spacing w:val="-2"/>
          <w:lang w:val="kk-KZ"/>
        </w:rPr>
        <w:br/>
      </w:r>
      <w:r w:rsidRPr="003D034C">
        <w:rPr>
          <w:lang w:val="kk-KZ"/>
        </w:rPr>
        <w:t>32</w:t>
      </w:r>
      <w:r w:rsidRPr="003D034C">
        <w:rPr>
          <w:spacing w:val="-12"/>
          <w:lang w:val="kk-KZ"/>
        </w:rPr>
        <w:t xml:space="preserve"> </w:t>
      </w:r>
      <w:r w:rsidRPr="003D034C">
        <w:rPr>
          <w:lang w:val="kk-KZ"/>
        </w:rPr>
        <w:t>London</w:t>
      </w:r>
      <w:r w:rsidRPr="003D034C">
        <w:rPr>
          <w:spacing w:val="-12"/>
          <w:lang w:val="kk-KZ"/>
        </w:rPr>
        <w:t xml:space="preserve"> </w:t>
      </w:r>
      <w:r w:rsidRPr="003D034C">
        <w:rPr>
          <w:lang w:val="kk-KZ"/>
        </w:rPr>
        <w:t>Bridge</w:t>
      </w:r>
      <w:r w:rsidRPr="003D034C">
        <w:rPr>
          <w:spacing w:val="-13"/>
          <w:lang w:val="kk-KZ"/>
        </w:rPr>
        <w:t xml:space="preserve"> </w:t>
      </w:r>
      <w:r w:rsidRPr="003D034C">
        <w:rPr>
          <w:lang w:val="kk-KZ"/>
        </w:rPr>
        <w:t>Street</w:t>
      </w:r>
      <w:r w:rsidRPr="003D034C">
        <w:rPr>
          <w:lang w:val="kk-KZ"/>
        </w:rPr>
        <w:br/>
      </w:r>
      <w:r w:rsidRPr="003D034C">
        <w:rPr>
          <w:spacing w:val="-2"/>
          <w:lang w:val="kk-KZ"/>
        </w:rPr>
        <w:t>Лондон</w:t>
      </w:r>
      <w:r w:rsidRPr="003D034C">
        <w:rPr>
          <w:spacing w:val="-2"/>
          <w:lang w:val="kk-KZ"/>
        </w:rPr>
        <w:br/>
      </w:r>
      <w:r w:rsidRPr="003D034C">
        <w:rPr>
          <w:lang w:val="kk-KZ"/>
        </w:rPr>
        <w:t xml:space="preserve">SE1 </w:t>
      </w:r>
      <w:r w:rsidRPr="003D034C">
        <w:rPr>
          <w:spacing w:val="-5"/>
          <w:lang w:val="kk-KZ"/>
        </w:rPr>
        <w:t>9SG</w:t>
      </w:r>
      <w:r w:rsidRPr="003D034C">
        <w:rPr>
          <w:spacing w:val="-5"/>
          <w:lang w:val="kk-KZ"/>
        </w:rPr>
        <w:br/>
      </w:r>
      <w:r>
        <w:rPr>
          <w:lang w:val="kk-KZ"/>
        </w:rPr>
        <w:t>Біріккен Патшалық</w:t>
      </w:r>
      <w:r w:rsidRPr="003D034C">
        <w:rPr>
          <w:lang w:val="kk-KZ"/>
        </w:rPr>
        <w:br/>
        <w:t>Телефон:</w:t>
      </w:r>
      <w:r w:rsidRPr="003D034C">
        <w:rPr>
          <w:spacing w:val="34"/>
          <w:lang w:val="kk-KZ"/>
        </w:rPr>
        <w:t xml:space="preserve"> </w:t>
      </w:r>
      <w:r w:rsidRPr="003D034C">
        <w:rPr>
          <w:lang w:val="kk-KZ"/>
        </w:rPr>
        <w:t>+44</w:t>
      </w:r>
      <w:r w:rsidRPr="003D034C">
        <w:rPr>
          <w:spacing w:val="-8"/>
          <w:lang w:val="kk-KZ"/>
        </w:rPr>
        <w:t xml:space="preserve"> </w:t>
      </w:r>
      <w:r w:rsidRPr="003D034C">
        <w:rPr>
          <w:lang w:val="kk-KZ"/>
        </w:rPr>
        <w:t>20</w:t>
      </w:r>
      <w:r w:rsidRPr="003D034C">
        <w:rPr>
          <w:spacing w:val="-8"/>
          <w:lang w:val="kk-KZ"/>
        </w:rPr>
        <w:t xml:space="preserve"> </w:t>
      </w:r>
      <w:r w:rsidRPr="003D034C">
        <w:rPr>
          <w:lang w:val="kk-KZ"/>
        </w:rPr>
        <w:t>7704</w:t>
      </w:r>
      <w:r w:rsidRPr="003D034C">
        <w:rPr>
          <w:spacing w:val="-8"/>
          <w:lang w:val="kk-KZ"/>
        </w:rPr>
        <w:t xml:space="preserve"> </w:t>
      </w:r>
      <w:r w:rsidRPr="003D034C">
        <w:rPr>
          <w:lang w:val="kk-KZ"/>
        </w:rPr>
        <w:t>0880</w:t>
      </w:r>
      <w:r w:rsidRPr="003D034C">
        <w:rPr>
          <w:lang w:val="kk-KZ"/>
        </w:rPr>
        <w:br/>
        <w:t>David Shilson</w:t>
      </w:r>
      <w:r>
        <w:rPr>
          <w:lang w:val="kk-KZ"/>
        </w:rPr>
        <w:t xml:space="preserve"> назарына</w:t>
      </w:r>
      <w:r w:rsidRPr="003D034C">
        <w:rPr>
          <w:lang w:val="kk-KZ"/>
        </w:rPr>
        <w:br/>
      </w:r>
      <w:r w:rsidRPr="008F5873">
        <w:rPr>
          <w:lang w:val="kk-KZ"/>
        </w:rPr>
        <w:t>Электрондық пошта</w:t>
      </w:r>
      <w:r w:rsidRPr="003D034C">
        <w:rPr>
          <w:lang w:val="kk-KZ"/>
        </w:rPr>
        <w:t>:</w:t>
      </w:r>
      <w:r w:rsidRPr="003D034C">
        <w:rPr>
          <w:spacing w:val="-13"/>
          <w:lang w:val="kk-KZ"/>
        </w:rPr>
        <w:t xml:space="preserve"> </w:t>
      </w:r>
      <w:hyperlink w:history="1" r:id="rId14">
        <w:r w:rsidRPr="003D034C">
          <w:rPr>
            <w:rStyle w:val="Hyperlink"/>
            <w:spacing w:val="-13"/>
            <w:lang w:val="kk-KZ"/>
          </w:rPr>
          <w:t>kmg@is.kroll.com</w:t>
        </w:r>
      </w:hyperlink>
      <w:r w:rsidRPr="003D034C">
        <w:rPr>
          <w:spacing w:val="-13"/>
          <w:lang w:val="kk-KZ"/>
        </w:rPr>
        <w:t xml:space="preserve"> </w:t>
      </w:r>
    </w:p>
    <w:p w:rsidRPr="003D034C" w:rsidR="003533DD" w:rsidP="003533DD" w:rsidRDefault="003533DD" w14:paraId="5D69A9B4" w14:textId="77777777">
      <w:pPr>
        <w:pStyle w:val="wCenter"/>
        <w:rPr>
          <w:spacing w:val="-4"/>
          <w:lang w:val="kk-KZ"/>
        </w:rPr>
      </w:pPr>
      <w:r w:rsidRPr="003D034C">
        <w:rPr>
          <w:lang w:val="kk-KZ"/>
        </w:rPr>
        <w:t>Веб-сайт:</w:t>
      </w:r>
      <w:r w:rsidRPr="003D034C">
        <w:rPr>
          <w:spacing w:val="-4"/>
          <w:lang w:val="kk-KZ"/>
        </w:rPr>
        <w:t xml:space="preserve"> </w:t>
      </w:r>
      <w:hyperlink w:history="1" r:id="rId15">
        <w:r w:rsidRPr="003D034C">
          <w:rPr>
            <w:rStyle w:val="Hyperlink"/>
            <w:spacing w:val="-4"/>
            <w:lang w:val="kk-KZ"/>
          </w:rPr>
          <w:t>https://deals.is.kroll.com/kmg</w:t>
        </w:r>
      </w:hyperlink>
      <w:r w:rsidRPr="003D034C">
        <w:rPr>
          <w:spacing w:val="-4"/>
          <w:lang w:val="kk-KZ"/>
        </w:rPr>
        <w:t xml:space="preserve"> </w:t>
      </w:r>
    </w:p>
    <w:p w:rsidRPr="00FA3E74" w:rsidR="00AA61FF" w:rsidRDefault="00237A4A" w14:paraId="39B936EC" w14:textId="77777777">
      <w:pPr>
        <w:spacing w:after="200" w:line="2" w:lineRule="auto"/>
        <w:rPr>
          <w:rFonts w:cstheme="minorHAnsi"/>
          <w:color w:val="000000" w:themeColor="text2"/>
          <w:szCs w:val="22"/>
          <w:lang w:val="ru-RU"/>
        </w:rPr>
      </w:pPr>
      <w:r w:rsidRPr="00FA3E74">
        <w:rPr>
          <w:rFonts w:cstheme="minorHAnsi"/>
          <w:szCs w:val="22"/>
          <w:lang w:val="ru-RU"/>
        </w:rPr>
        <w:br w:type="page"/>
      </w:r>
    </w:p>
    <w:p w:rsidR="00220A19" w:rsidP="00220A19" w:rsidRDefault="00220A19" w14:paraId="581EB326" w14:textId="77777777">
      <w:pPr>
        <w:pStyle w:val="BodyText"/>
        <w:spacing w:before="120" w:after="120" w:line="240" w:lineRule="auto"/>
        <w:jc w:val="both"/>
        <w:rPr>
          <w:rFonts w:cstheme="minorHAnsi"/>
          <w:szCs w:val="22"/>
          <w:lang w:val="kk-KZ"/>
        </w:rPr>
      </w:pPr>
      <w:r w:rsidRPr="00CD28EE">
        <w:rPr>
          <w:rFonts w:cstheme="minorHAnsi"/>
          <w:szCs w:val="22"/>
          <w:lang w:val="kk-KZ"/>
        </w:rPr>
        <w:lastRenderedPageBreak/>
        <w:t>ЖАУАПКЕРШІЛІКТЕН БАС ТАРТУ ТУРАЛЫ ӨТІНІШ</w:t>
      </w:r>
    </w:p>
    <w:p w:rsidRPr="00224EAF" w:rsidR="00224EAF" w:rsidP="003773FD" w:rsidRDefault="00224EAF" w14:paraId="485F0E9C" w14:textId="2A1DA4C9">
      <w:pPr>
        <w:pStyle w:val="BodyText"/>
        <w:jc w:val="both"/>
        <w:rPr>
          <w:rFonts w:cstheme="minorHAnsi"/>
          <w:szCs w:val="22"/>
          <w:lang w:val="kk-KZ"/>
        </w:rPr>
      </w:pPr>
      <w:r w:rsidRPr="00CD28EE">
        <w:rPr>
          <w:rFonts w:cstheme="minorHAnsi"/>
          <w:szCs w:val="22"/>
          <w:lang w:val="kk-KZ"/>
        </w:rPr>
        <w:t xml:space="preserve">Осы </w:t>
      </w:r>
      <w:r>
        <w:rPr>
          <w:rFonts w:cstheme="minorHAnsi"/>
          <w:szCs w:val="22"/>
          <w:lang w:val="kk-KZ"/>
        </w:rPr>
        <w:t>хабарламаны</w:t>
      </w:r>
      <w:r w:rsidRPr="00CD28EE">
        <w:rPr>
          <w:rFonts w:cstheme="minorHAnsi"/>
          <w:szCs w:val="22"/>
          <w:lang w:val="kk-KZ"/>
        </w:rPr>
        <w:t xml:space="preserve"> </w:t>
      </w:r>
      <w:r>
        <w:rPr>
          <w:rFonts w:cstheme="minorHAnsi"/>
          <w:szCs w:val="22"/>
          <w:lang w:val="kk-KZ"/>
        </w:rPr>
        <w:t>С</w:t>
      </w:r>
      <w:r w:rsidRPr="00CD28EE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ымен</w:t>
      </w:r>
      <w:r w:rsidRPr="00224EAF">
        <w:rPr>
          <w:rFonts w:cstheme="minorHAnsi"/>
          <w:szCs w:val="22"/>
          <w:lang w:val="kk-KZ"/>
        </w:rPr>
        <w:t xml:space="preserve"> және 2024 жылдың 3 қыркүйегінде жарияланған іске қосу туралы хабарландырумен бірге оқу керек.</w:t>
      </w:r>
    </w:p>
    <w:p w:rsidR="00CE7719" w:rsidP="00CE7719" w:rsidRDefault="00CE7719" w14:paraId="69FEBF92" w14:textId="77004EF2">
      <w:pPr>
        <w:pStyle w:val="BodyText"/>
        <w:spacing w:before="120" w:after="120" w:line="240" w:lineRule="auto"/>
        <w:jc w:val="both"/>
        <w:rPr>
          <w:rFonts w:cstheme="minorHAnsi"/>
          <w:szCs w:val="22"/>
          <w:lang w:val="kk-KZ"/>
        </w:rPr>
      </w:pPr>
      <w:r w:rsidRPr="002431AB">
        <w:rPr>
          <w:rFonts w:cstheme="minorHAnsi"/>
          <w:szCs w:val="22"/>
          <w:lang w:val="kk-KZ"/>
        </w:rPr>
        <w:t xml:space="preserve">Бұл </w:t>
      </w:r>
      <w:r>
        <w:rPr>
          <w:rFonts w:cstheme="minorHAnsi"/>
          <w:szCs w:val="22"/>
          <w:lang w:val="kk-KZ"/>
        </w:rPr>
        <w:t>хабарлама</w:t>
      </w:r>
      <w:r w:rsidRPr="002431AB">
        <w:rPr>
          <w:rFonts w:cstheme="minorHAnsi"/>
          <w:szCs w:val="22"/>
          <w:lang w:val="kk-KZ"/>
        </w:rPr>
        <w:t xml:space="preserve"> тек ақпараттық сипатта болады. Тендерлік ұсыныс тек </w:t>
      </w:r>
      <w:r>
        <w:rPr>
          <w:rFonts w:cstheme="minorHAnsi"/>
          <w:szCs w:val="22"/>
          <w:lang w:val="kk-KZ"/>
        </w:rPr>
        <w:t>С</w:t>
      </w:r>
      <w:r w:rsidRPr="002431AB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ына</w:t>
      </w:r>
      <w:r w:rsidRPr="002431AB">
        <w:rPr>
          <w:rFonts w:cstheme="minorHAnsi"/>
          <w:szCs w:val="22"/>
          <w:lang w:val="kk-KZ"/>
        </w:rPr>
        <w:t xml:space="preserve"> сәйкес және тек қолданыстағы заңнамамен рұқсат етілген юрисдикцияларда </w:t>
      </w:r>
      <w:r>
        <w:rPr>
          <w:rFonts w:cstheme="minorHAnsi"/>
          <w:szCs w:val="22"/>
          <w:lang w:val="kk-KZ"/>
        </w:rPr>
        <w:t>жасалды</w:t>
      </w:r>
      <w:r w:rsidRPr="002431AB">
        <w:rPr>
          <w:rFonts w:cstheme="minorHAnsi"/>
          <w:szCs w:val="22"/>
          <w:lang w:val="kk-KZ"/>
        </w:rPr>
        <w:t>. Осы хабарла</w:t>
      </w:r>
      <w:r>
        <w:rPr>
          <w:rFonts w:cstheme="minorHAnsi"/>
          <w:szCs w:val="22"/>
          <w:lang w:val="kk-KZ"/>
        </w:rPr>
        <w:t>ма</w:t>
      </w:r>
      <w:r w:rsidRPr="002431AB">
        <w:rPr>
          <w:rFonts w:cstheme="minorHAnsi"/>
          <w:szCs w:val="22"/>
          <w:lang w:val="kk-KZ"/>
        </w:rPr>
        <w:t xml:space="preserve"> да, </w:t>
      </w:r>
      <w:r>
        <w:rPr>
          <w:rFonts w:cstheme="minorHAnsi"/>
          <w:szCs w:val="22"/>
          <w:lang w:val="kk-KZ"/>
        </w:rPr>
        <w:t>С</w:t>
      </w:r>
      <w:r w:rsidRPr="002431AB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</w:t>
      </w:r>
      <w:r w:rsidRPr="002431AB">
        <w:rPr>
          <w:rFonts w:cstheme="minorHAnsi"/>
          <w:szCs w:val="22"/>
          <w:lang w:val="kk-KZ"/>
        </w:rPr>
        <w:t xml:space="preserve"> </w:t>
      </w:r>
      <w:r>
        <w:rPr>
          <w:rFonts w:cstheme="minorHAnsi"/>
          <w:szCs w:val="22"/>
          <w:lang w:val="kk-KZ"/>
        </w:rPr>
        <w:t>д</w:t>
      </w:r>
      <w:r w:rsidRPr="002431AB">
        <w:rPr>
          <w:rFonts w:cstheme="minorHAnsi"/>
          <w:szCs w:val="22"/>
          <w:lang w:val="kk-KZ"/>
        </w:rPr>
        <w:t xml:space="preserve">а, </w:t>
      </w:r>
      <w:r>
        <w:rPr>
          <w:rFonts w:cstheme="minorHAnsi"/>
          <w:szCs w:val="22"/>
          <w:lang w:val="kk-KZ"/>
        </w:rPr>
        <w:t>Т</w:t>
      </w:r>
      <w:r w:rsidRPr="002431AB">
        <w:rPr>
          <w:rFonts w:cstheme="minorHAnsi"/>
          <w:szCs w:val="22"/>
          <w:lang w:val="kk-KZ"/>
        </w:rPr>
        <w:t xml:space="preserve">ендерлік ұсынысқа қатысты кез келген басқа құжаттар немесе материалдар да мұндай ұсыныс немесе тарту заңсыз болып табылатын кез келген юрисдикцияда </w:t>
      </w:r>
      <w:r>
        <w:rPr>
          <w:rFonts w:cstheme="minorHAnsi"/>
          <w:szCs w:val="22"/>
          <w:lang w:val="kk-KZ"/>
        </w:rPr>
        <w:t>орналасқан</w:t>
      </w:r>
      <w:r w:rsidRPr="002431AB">
        <w:rPr>
          <w:rFonts w:cstheme="minorHAnsi"/>
          <w:szCs w:val="22"/>
          <w:lang w:val="kk-KZ"/>
        </w:rPr>
        <w:t xml:space="preserve"> немесе тұратын кез келген тұлғаға </w:t>
      </w:r>
      <w:r>
        <w:rPr>
          <w:rFonts w:cstheme="minorHAnsi"/>
          <w:szCs w:val="22"/>
          <w:lang w:val="kk-KZ"/>
        </w:rPr>
        <w:t>О</w:t>
      </w:r>
      <w:r w:rsidRPr="002431AB">
        <w:rPr>
          <w:rFonts w:cstheme="minorHAnsi"/>
          <w:szCs w:val="22"/>
          <w:lang w:val="kk-KZ"/>
        </w:rPr>
        <w:t>блигацияларды</w:t>
      </w:r>
      <w:r>
        <w:rPr>
          <w:rFonts w:cstheme="minorHAnsi"/>
          <w:szCs w:val="22"/>
          <w:lang w:val="kk-KZ"/>
        </w:rPr>
        <w:t xml:space="preserve"> </w:t>
      </w:r>
      <w:r w:rsidRPr="002431AB">
        <w:rPr>
          <w:rFonts w:cstheme="minorHAnsi"/>
          <w:szCs w:val="22"/>
          <w:lang w:val="kk-KZ"/>
        </w:rPr>
        <w:t>сатып алу немесе сату туралы ұсынысты тарту туралы ұсыныс болып табылмайды.</w:t>
      </w:r>
    </w:p>
    <w:p w:rsidR="00227C18" w:rsidP="00227C18" w:rsidRDefault="00227C18" w14:paraId="4F9258A0" w14:textId="77777777">
      <w:pPr>
        <w:pStyle w:val="BodyText"/>
        <w:spacing w:before="120" w:after="120" w:line="240" w:lineRule="auto"/>
        <w:jc w:val="both"/>
        <w:rPr>
          <w:rFonts w:cstheme="minorHAnsi"/>
          <w:szCs w:val="22"/>
          <w:lang w:val="kk-KZ"/>
        </w:rPr>
      </w:pPr>
      <w:r w:rsidRPr="007A0952">
        <w:rPr>
          <w:rFonts w:cstheme="minorHAnsi"/>
          <w:szCs w:val="22"/>
          <w:lang w:val="kk-KZ"/>
        </w:rPr>
        <w:t xml:space="preserve">Дилер-менеджерлердің немесе </w:t>
      </w:r>
      <w:r>
        <w:rPr>
          <w:rFonts w:cstheme="minorHAnsi"/>
          <w:szCs w:val="22"/>
          <w:lang w:val="kk-KZ"/>
        </w:rPr>
        <w:t>Т</w:t>
      </w:r>
      <w:r w:rsidRPr="007A0952">
        <w:rPr>
          <w:rFonts w:cstheme="minorHAnsi"/>
          <w:szCs w:val="22"/>
          <w:lang w:val="kk-KZ"/>
        </w:rPr>
        <w:t xml:space="preserve">ендерлік және </w:t>
      </w:r>
      <w:r>
        <w:rPr>
          <w:rFonts w:cstheme="minorHAnsi"/>
          <w:szCs w:val="22"/>
          <w:lang w:val="kk-KZ"/>
        </w:rPr>
        <w:t>А</w:t>
      </w:r>
      <w:r w:rsidRPr="007A0952">
        <w:rPr>
          <w:rFonts w:cstheme="minorHAnsi"/>
          <w:szCs w:val="22"/>
          <w:lang w:val="kk-KZ"/>
        </w:rPr>
        <w:t xml:space="preserve">қпараттық </w:t>
      </w:r>
      <w:r w:rsidRPr="00FA3E74">
        <w:rPr>
          <w:rFonts w:cstheme="minorHAnsi"/>
          <w:szCs w:val="22"/>
          <w:lang w:val="kk-KZ"/>
        </w:rPr>
        <w:t>А</w:t>
      </w:r>
      <w:r w:rsidRPr="007A0952">
        <w:rPr>
          <w:rFonts w:cstheme="minorHAnsi"/>
          <w:szCs w:val="22"/>
          <w:lang w:val="kk-KZ"/>
        </w:rPr>
        <w:t xml:space="preserve">генттің (немесе олардың тиісті </w:t>
      </w:r>
      <w:r>
        <w:rPr>
          <w:rFonts w:cstheme="minorHAnsi"/>
          <w:szCs w:val="22"/>
          <w:lang w:val="kk-KZ"/>
        </w:rPr>
        <w:t>а</w:t>
      </w:r>
      <w:r w:rsidRPr="004E5992">
        <w:rPr>
          <w:rFonts w:cstheme="minorHAnsi"/>
          <w:szCs w:val="22"/>
          <w:lang w:val="kk-KZ"/>
        </w:rPr>
        <w:t xml:space="preserve">ффилирленген </w:t>
      </w:r>
      <w:r w:rsidRPr="007A0952">
        <w:rPr>
          <w:rFonts w:cstheme="minorHAnsi"/>
          <w:szCs w:val="22"/>
          <w:lang w:val="kk-KZ"/>
        </w:rPr>
        <w:t xml:space="preserve">тұлғаларының, директорларының, лауазымды тұлғаларының, қызметшілері мен агенттерінің) ешқайсысы </w:t>
      </w:r>
      <w:r>
        <w:rPr>
          <w:rFonts w:cstheme="minorHAnsi"/>
          <w:szCs w:val="22"/>
          <w:lang w:val="kk-KZ"/>
        </w:rPr>
        <w:t>С</w:t>
      </w:r>
      <w:r w:rsidRPr="007A0952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ында</w:t>
      </w:r>
      <w:r w:rsidRPr="007A0952">
        <w:rPr>
          <w:rFonts w:cstheme="minorHAnsi"/>
          <w:szCs w:val="22"/>
          <w:lang w:val="kk-KZ"/>
        </w:rPr>
        <w:t xml:space="preserve"> қамтылған ақпаратты жеке тексермеген және </w:t>
      </w:r>
      <w:r>
        <w:rPr>
          <w:rFonts w:cstheme="minorHAnsi"/>
          <w:szCs w:val="22"/>
          <w:lang w:val="kk-KZ"/>
        </w:rPr>
        <w:t>Д</w:t>
      </w:r>
      <w:r w:rsidRPr="007A0952">
        <w:rPr>
          <w:rFonts w:cstheme="minorHAnsi"/>
          <w:szCs w:val="22"/>
          <w:lang w:val="kk-KZ"/>
        </w:rPr>
        <w:t xml:space="preserve">илер-менеджерлердің немесе </w:t>
      </w:r>
      <w:r>
        <w:rPr>
          <w:rFonts w:cstheme="minorHAnsi"/>
          <w:szCs w:val="22"/>
          <w:lang w:val="kk-KZ"/>
        </w:rPr>
        <w:t>Т</w:t>
      </w:r>
      <w:r w:rsidRPr="007A0952">
        <w:rPr>
          <w:rFonts w:cstheme="minorHAnsi"/>
          <w:szCs w:val="22"/>
          <w:lang w:val="kk-KZ"/>
        </w:rPr>
        <w:t xml:space="preserve">ендерлік және </w:t>
      </w:r>
      <w:r>
        <w:rPr>
          <w:rFonts w:cstheme="minorHAnsi"/>
          <w:szCs w:val="22"/>
          <w:lang w:val="kk-KZ"/>
        </w:rPr>
        <w:t>А</w:t>
      </w:r>
      <w:r w:rsidRPr="007A0952">
        <w:rPr>
          <w:rFonts w:cstheme="minorHAnsi"/>
          <w:szCs w:val="22"/>
          <w:lang w:val="kk-KZ"/>
        </w:rPr>
        <w:t xml:space="preserve">қпараттық </w:t>
      </w:r>
      <w:r>
        <w:rPr>
          <w:rFonts w:cstheme="minorHAnsi"/>
          <w:szCs w:val="22"/>
          <w:lang w:val="kk-KZ"/>
        </w:rPr>
        <w:t>А</w:t>
      </w:r>
      <w:r w:rsidRPr="007A0952">
        <w:rPr>
          <w:rFonts w:cstheme="minorHAnsi"/>
          <w:szCs w:val="22"/>
          <w:lang w:val="kk-KZ"/>
        </w:rPr>
        <w:t xml:space="preserve">генттің, олардың </w:t>
      </w:r>
      <w:r>
        <w:rPr>
          <w:rFonts w:cstheme="minorHAnsi"/>
          <w:szCs w:val="22"/>
          <w:lang w:val="kk-KZ"/>
        </w:rPr>
        <w:t>а</w:t>
      </w:r>
      <w:r w:rsidRPr="004E5992">
        <w:rPr>
          <w:rFonts w:cstheme="minorHAnsi"/>
          <w:szCs w:val="22"/>
          <w:lang w:val="kk-KZ"/>
        </w:rPr>
        <w:t>ффилирленген</w:t>
      </w:r>
      <w:r w:rsidRPr="007A0952">
        <w:rPr>
          <w:rFonts w:cstheme="minorHAnsi"/>
          <w:szCs w:val="22"/>
          <w:lang w:val="kk-KZ"/>
        </w:rPr>
        <w:t xml:space="preserve"> тұлғаларының немесе олардың тиісті директорларының, лауазымды жеке тұлғалардың, қызметкерлердің немесе агенттердің </w:t>
      </w:r>
      <w:r>
        <w:rPr>
          <w:rFonts w:cstheme="minorHAnsi"/>
          <w:szCs w:val="22"/>
          <w:lang w:val="kk-KZ"/>
        </w:rPr>
        <w:t>С</w:t>
      </w:r>
      <w:r w:rsidRPr="007A0952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ындағы</w:t>
      </w:r>
      <w:r w:rsidRPr="007A0952">
        <w:rPr>
          <w:rFonts w:cstheme="minorHAnsi"/>
          <w:szCs w:val="22"/>
          <w:lang w:val="kk-KZ"/>
        </w:rPr>
        <w:t xml:space="preserve"> немесе </w:t>
      </w:r>
      <w:r>
        <w:rPr>
          <w:rFonts w:cstheme="minorHAnsi"/>
          <w:szCs w:val="22"/>
          <w:lang w:val="kk-KZ"/>
        </w:rPr>
        <w:t>Т</w:t>
      </w:r>
      <w:r w:rsidRPr="007A0952">
        <w:rPr>
          <w:rFonts w:cstheme="minorHAnsi"/>
          <w:szCs w:val="22"/>
          <w:lang w:val="kk-KZ"/>
        </w:rPr>
        <w:t>ендерлік ұсынысқа қатысты қандай да бір мәлімдемелер, кепілдіктер, міндеттемелер немесе ұсынымдар (айқын немесе болжамды) жасамайды,</w:t>
      </w:r>
      <w:r>
        <w:rPr>
          <w:rFonts w:cstheme="minorHAnsi"/>
          <w:szCs w:val="22"/>
          <w:lang w:val="kk-KZ"/>
        </w:rPr>
        <w:t xml:space="preserve"> және</w:t>
      </w:r>
      <w:r w:rsidRPr="007A0952">
        <w:rPr>
          <w:rFonts w:cstheme="minorHAnsi"/>
          <w:szCs w:val="22"/>
          <w:lang w:val="kk-KZ"/>
        </w:rPr>
        <w:t xml:space="preserve"> мұндай тұлғалардың ешқайсысы </w:t>
      </w:r>
      <w:r>
        <w:rPr>
          <w:rFonts w:cstheme="minorHAnsi"/>
          <w:szCs w:val="22"/>
          <w:lang w:val="kk-KZ"/>
        </w:rPr>
        <w:t>С</w:t>
      </w:r>
      <w:r w:rsidRPr="007A0952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ында</w:t>
      </w:r>
      <w:r w:rsidRPr="007A0952">
        <w:rPr>
          <w:rFonts w:cstheme="minorHAnsi"/>
          <w:szCs w:val="22"/>
          <w:lang w:val="kk-KZ"/>
        </w:rPr>
        <w:t xml:space="preserve"> қамтылған ақпараттың немесе </w:t>
      </w:r>
      <w:r>
        <w:rPr>
          <w:rFonts w:cstheme="minorHAnsi"/>
          <w:szCs w:val="22"/>
          <w:lang w:val="kk-KZ"/>
        </w:rPr>
        <w:t>Т</w:t>
      </w:r>
      <w:r w:rsidRPr="007A0952">
        <w:rPr>
          <w:rFonts w:cstheme="minorHAnsi"/>
          <w:szCs w:val="22"/>
          <w:lang w:val="kk-KZ"/>
        </w:rPr>
        <w:t xml:space="preserve">ендерлік ұсынысқа байланысты Эмитент немесе KMG Finance ұсынған кез келген басқа ақпараттың дәлдігі немесе толықтығы үшін немесе </w:t>
      </w:r>
      <w:r>
        <w:rPr>
          <w:rFonts w:cstheme="minorHAnsi"/>
          <w:szCs w:val="22"/>
          <w:lang w:val="kk-KZ"/>
        </w:rPr>
        <w:t>Э</w:t>
      </w:r>
      <w:r w:rsidRPr="007A0952">
        <w:rPr>
          <w:rFonts w:cstheme="minorHAnsi"/>
          <w:szCs w:val="22"/>
          <w:lang w:val="kk-KZ"/>
        </w:rPr>
        <w:t xml:space="preserve">митенттің немесе KMG Finance Эмитент немесе KMG Finance </w:t>
      </w:r>
      <w:r>
        <w:rPr>
          <w:rFonts w:cstheme="minorHAnsi"/>
          <w:szCs w:val="22"/>
          <w:lang w:val="kk-KZ"/>
        </w:rPr>
        <w:t>немесе</w:t>
      </w:r>
      <w:r w:rsidRPr="007A0952">
        <w:rPr>
          <w:rFonts w:cstheme="minorHAnsi"/>
          <w:szCs w:val="22"/>
          <w:lang w:val="kk-KZ"/>
        </w:rPr>
        <w:t xml:space="preserve"> </w:t>
      </w:r>
      <w:r>
        <w:rPr>
          <w:rFonts w:cstheme="minorHAnsi"/>
          <w:szCs w:val="22"/>
          <w:lang w:val="kk-KZ"/>
        </w:rPr>
        <w:t xml:space="preserve">Тендерлік </w:t>
      </w:r>
      <w:r w:rsidRPr="007A0952">
        <w:rPr>
          <w:rFonts w:cstheme="minorHAnsi"/>
          <w:szCs w:val="22"/>
          <w:lang w:val="kk-KZ"/>
        </w:rPr>
        <w:t>ұсынысқа қатысты елеулі ақпаратты</w:t>
      </w:r>
      <w:r>
        <w:rPr>
          <w:rFonts w:cstheme="minorHAnsi"/>
          <w:szCs w:val="22"/>
          <w:lang w:val="kk-KZ"/>
        </w:rPr>
        <w:t xml:space="preserve"> ұсынбауы</w:t>
      </w:r>
      <w:r w:rsidRPr="007A0952">
        <w:rPr>
          <w:rFonts w:cstheme="minorHAnsi"/>
          <w:szCs w:val="22"/>
          <w:lang w:val="kk-KZ"/>
        </w:rPr>
        <w:t xml:space="preserve"> </w:t>
      </w:r>
      <w:r>
        <w:rPr>
          <w:rFonts w:cstheme="minorHAnsi"/>
          <w:szCs w:val="22"/>
          <w:lang w:val="kk-KZ"/>
        </w:rPr>
        <w:t>үшін</w:t>
      </w:r>
      <w:r w:rsidRPr="007A0952">
        <w:rPr>
          <w:rFonts w:cstheme="minorHAnsi"/>
          <w:szCs w:val="22"/>
          <w:lang w:val="kk-KZ"/>
        </w:rPr>
        <w:t xml:space="preserve"> өзіне ешқандай жауапкершілік алмайды.</w:t>
      </w:r>
    </w:p>
    <w:p w:rsidR="00227C18" w:rsidP="00227C18" w:rsidRDefault="00227C18" w14:paraId="3ED4A150" w14:textId="75C0B603">
      <w:pPr>
        <w:pStyle w:val="BodyText"/>
        <w:spacing w:before="120" w:after="120" w:line="240" w:lineRule="auto"/>
        <w:jc w:val="both"/>
        <w:rPr>
          <w:rFonts w:cstheme="minorHAnsi"/>
          <w:szCs w:val="22"/>
          <w:lang w:val="kk-KZ"/>
        </w:rPr>
      </w:pPr>
      <w:r w:rsidRPr="004C44D9">
        <w:rPr>
          <w:rFonts w:cstheme="minorHAnsi"/>
          <w:szCs w:val="22"/>
          <w:lang w:val="kk-KZ"/>
        </w:rPr>
        <w:t xml:space="preserve">Дилер-менеджерлер және </w:t>
      </w:r>
      <w:r>
        <w:rPr>
          <w:rFonts w:cstheme="minorHAnsi"/>
          <w:szCs w:val="22"/>
          <w:lang w:val="kk-KZ"/>
        </w:rPr>
        <w:t>Т</w:t>
      </w:r>
      <w:r w:rsidRPr="004C44D9">
        <w:rPr>
          <w:rFonts w:cstheme="minorHAnsi"/>
          <w:szCs w:val="22"/>
          <w:lang w:val="kk-KZ"/>
        </w:rPr>
        <w:t xml:space="preserve">ендерлік және </w:t>
      </w:r>
      <w:r>
        <w:rPr>
          <w:rFonts w:cstheme="minorHAnsi"/>
          <w:szCs w:val="22"/>
          <w:lang w:val="kk-KZ"/>
        </w:rPr>
        <w:t>А</w:t>
      </w:r>
      <w:r w:rsidRPr="004C44D9">
        <w:rPr>
          <w:rFonts w:cstheme="minorHAnsi"/>
          <w:szCs w:val="22"/>
          <w:lang w:val="kk-KZ"/>
        </w:rPr>
        <w:t xml:space="preserve">қпараттық </w:t>
      </w:r>
      <w:r>
        <w:rPr>
          <w:rFonts w:cstheme="minorHAnsi"/>
          <w:szCs w:val="22"/>
          <w:lang w:val="kk-KZ"/>
        </w:rPr>
        <w:t>А</w:t>
      </w:r>
      <w:r w:rsidRPr="004C44D9">
        <w:rPr>
          <w:rFonts w:cstheme="minorHAnsi"/>
          <w:szCs w:val="22"/>
          <w:lang w:val="kk-KZ"/>
        </w:rPr>
        <w:t xml:space="preserve">гент (сондай-ақ олардың тиісті директорлары, қызметкерлері немесе </w:t>
      </w:r>
      <w:r>
        <w:rPr>
          <w:rFonts w:cstheme="minorHAnsi"/>
          <w:szCs w:val="22"/>
          <w:lang w:val="kk-KZ"/>
        </w:rPr>
        <w:t>а</w:t>
      </w:r>
      <w:r w:rsidRPr="004E5992">
        <w:rPr>
          <w:rFonts w:cstheme="minorHAnsi"/>
          <w:szCs w:val="22"/>
          <w:lang w:val="kk-KZ"/>
        </w:rPr>
        <w:t xml:space="preserve">ффилирленген </w:t>
      </w:r>
      <w:r w:rsidRPr="004C44D9">
        <w:rPr>
          <w:rFonts w:cstheme="minorHAnsi"/>
          <w:szCs w:val="22"/>
          <w:lang w:val="kk-KZ"/>
        </w:rPr>
        <w:t xml:space="preserve">тұлғалары) осы </w:t>
      </w:r>
      <w:r>
        <w:rPr>
          <w:rFonts w:cstheme="minorHAnsi"/>
          <w:szCs w:val="22"/>
          <w:lang w:val="kk-KZ"/>
        </w:rPr>
        <w:t>хабарламаға</w:t>
      </w:r>
      <w:r w:rsidRPr="004C44D9">
        <w:rPr>
          <w:rFonts w:cstheme="minorHAnsi"/>
          <w:szCs w:val="22"/>
          <w:lang w:val="kk-KZ"/>
        </w:rPr>
        <w:t xml:space="preserve">, </w:t>
      </w:r>
      <w:r>
        <w:rPr>
          <w:rFonts w:cstheme="minorHAnsi"/>
          <w:szCs w:val="22"/>
          <w:lang w:val="kk-KZ"/>
        </w:rPr>
        <w:t>С</w:t>
      </w:r>
      <w:r w:rsidRPr="004C44D9">
        <w:rPr>
          <w:rFonts w:cstheme="minorHAnsi"/>
          <w:szCs w:val="22"/>
          <w:lang w:val="kk-KZ"/>
        </w:rPr>
        <w:t>атып алу ұсыныс</w:t>
      </w:r>
      <w:r>
        <w:rPr>
          <w:rFonts w:cstheme="minorHAnsi"/>
          <w:szCs w:val="22"/>
          <w:lang w:val="kk-KZ"/>
        </w:rPr>
        <w:t>ына</w:t>
      </w:r>
      <w:r w:rsidRPr="004C44D9">
        <w:rPr>
          <w:rFonts w:cstheme="minorHAnsi"/>
          <w:szCs w:val="22"/>
          <w:lang w:val="kk-KZ"/>
        </w:rPr>
        <w:t xml:space="preserve"> немесе </w:t>
      </w:r>
      <w:r>
        <w:rPr>
          <w:rFonts w:cstheme="minorHAnsi"/>
          <w:szCs w:val="22"/>
          <w:lang w:val="kk-KZ"/>
        </w:rPr>
        <w:t>Т</w:t>
      </w:r>
      <w:r w:rsidRPr="004C44D9">
        <w:rPr>
          <w:rFonts w:cstheme="minorHAnsi"/>
          <w:szCs w:val="22"/>
          <w:lang w:val="kk-KZ"/>
        </w:rPr>
        <w:t>ендерлік ұсынысқа қатысты ешқандай мәлімдеме немесе ұсыныс жасамайды.</w:t>
      </w:r>
      <w:r w:rsidRPr="00227C18">
        <w:rPr>
          <w:rFonts w:cstheme="minorHAnsi"/>
          <w:szCs w:val="22"/>
          <w:lang w:val="kk-KZ"/>
        </w:rPr>
        <w:t xml:space="preserve"> </w:t>
      </w:r>
      <w:r w:rsidRPr="004C44D9">
        <w:rPr>
          <w:rFonts w:cstheme="minorHAnsi"/>
          <w:szCs w:val="22"/>
          <w:lang w:val="kk-KZ"/>
        </w:rPr>
        <w:t xml:space="preserve">Тендерлік және </w:t>
      </w:r>
      <w:r>
        <w:rPr>
          <w:rFonts w:cstheme="minorHAnsi"/>
          <w:szCs w:val="22"/>
          <w:lang w:val="kk-KZ"/>
        </w:rPr>
        <w:t>А</w:t>
      </w:r>
      <w:r w:rsidRPr="004C44D9">
        <w:rPr>
          <w:rFonts w:cstheme="minorHAnsi"/>
          <w:szCs w:val="22"/>
          <w:lang w:val="kk-KZ"/>
        </w:rPr>
        <w:t xml:space="preserve">қпараттық </w:t>
      </w:r>
      <w:r>
        <w:rPr>
          <w:rFonts w:cstheme="minorHAnsi"/>
          <w:szCs w:val="22"/>
          <w:lang w:val="kk-KZ"/>
        </w:rPr>
        <w:t>А</w:t>
      </w:r>
      <w:r w:rsidRPr="004C44D9">
        <w:rPr>
          <w:rFonts w:cstheme="minorHAnsi"/>
          <w:szCs w:val="22"/>
          <w:lang w:val="kk-KZ"/>
        </w:rPr>
        <w:t xml:space="preserve">гент </w:t>
      </w:r>
      <w:r>
        <w:rPr>
          <w:rFonts w:cstheme="minorHAnsi"/>
          <w:szCs w:val="22"/>
          <w:lang w:val="kk-KZ"/>
        </w:rPr>
        <w:t>Ұсынушылардың</w:t>
      </w:r>
      <w:r w:rsidRPr="004C44D9">
        <w:rPr>
          <w:rFonts w:cstheme="minorHAnsi"/>
          <w:szCs w:val="22"/>
          <w:lang w:val="kk-KZ"/>
        </w:rPr>
        <w:t xml:space="preserve"> агенті болып табылады және кез-келген </w:t>
      </w:r>
      <w:r>
        <w:rPr>
          <w:rFonts w:cstheme="minorHAnsi"/>
          <w:szCs w:val="22"/>
          <w:lang w:val="kk-KZ"/>
        </w:rPr>
        <w:t>Ұ</w:t>
      </w:r>
      <w:r w:rsidRPr="004C44D9">
        <w:rPr>
          <w:rFonts w:cstheme="minorHAnsi"/>
          <w:szCs w:val="22"/>
          <w:lang w:val="kk-KZ"/>
        </w:rPr>
        <w:t>стаушы алдында ешқандай міндеттеме алмайды.</w:t>
      </w:r>
    </w:p>
    <w:p w:rsidRPr="003D034C" w:rsidR="00E62B36" w:rsidP="00E62B36" w:rsidRDefault="00E62B36" w14:paraId="66577324" w14:textId="77777777">
      <w:pPr>
        <w:widowControl w:val="0"/>
        <w:spacing w:before="120" w:after="120"/>
        <w:jc w:val="both"/>
        <w:textAlignment w:val="baseline"/>
        <w:rPr>
          <w:rFonts w:cstheme="minorHAnsi"/>
          <w:b/>
          <w:color w:val="000000" w:themeColor="text2"/>
          <w:szCs w:val="22"/>
          <w:lang w:val="kk-KZ"/>
        </w:rPr>
      </w:pPr>
      <w:r w:rsidRPr="001F6491">
        <w:rPr>
          <w:rFonts w:cstheme="minorHAnsi"/>
          <w:b/>
          <w:color w:val="000000" w:themeColor="text2"/>
          <w:szCs w:val="22"/>
          <w:lang w:val="kk-KZ"/>
        </w:rPr>
        <w:t>ҰСЫНЫС ЖӘНЕ ОНЫ ТАРАТУҒА ШЕКТЕУЛЕР</w:t>
      </w:r>
      <w:r>
        <w:rPr>
          <w:rFonts w:cstheme="minorHAnsi"/>
          <w:b/>
          <w:color w:val="000000" w:themeColor="text2"/>
          <w:szCs w:val="22"/>
          <w:lang w:val="kk-KZ"/>
        </w:rPr>
        <w:t xml:space="preserve"> </w:t>
      </w:r>
    </w:p>
    <w:p w:rsidR="00E62B36" w:rsidP="00E62B36" w:rsidRDefault="00E62B36" w14:paraId="43E92457" w14:textId="77777777">
      <w:pPr>
        <w:widowControl w:val="0"/>
        <w:spacing w:before="120"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kk-KZ"/>
        </w:rPr>
      </w:pPr>
      <w:r w:rsidRPr="001F6491">
        <w:rPr>
          <w:rFonts w:ascii="Times New Roman" w:hAnsi="Times New Roman" w:cs="Times New Roman"/>
          <w:b/>
          <w:color w:val="000000" w:themeColor="text2"/>
          <w:szCs w:val="22"/>
          <w:lang w:val="kk-KZ"/>
        </w:rPr>
        <w:t>Жалпы ережелер</w:t>
      </w:r>
    </w:p>
    <w:p w:rsidR="00E62B36" w:rsidP="00E62B36" w:rsidRDefault="00E62B36" w14:paraId="16321E91" w14:textId="4973ECF3">
      <w:pPr>
        <w:widowControl w:val="0"/>
        <w:spacing w:before="120" w:after="120"/>
        <w:jc w:val="both"/>
        <w:textAlignment w:val="baseline"/>
        <w:rPr>
          <w:lang w:val="kk-KZ"/>
        </w:rPr>
      </w:pP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Осы хабарла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ма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да,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С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атып алу ұсыныс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ы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д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а мұндай ұсыныс заңсыз болып табылатын кез келген юрисдикцияда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орналасқан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немесе тұратын қандай да бір тұлғаға жіберілген кез келген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О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блигацияларға және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О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блигацияларды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Ұ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стаушылардың тендерлік өтінімдеріне қатысты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с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ауда-саттықты өткізу немесе сату немесе қандай да бір дауыс беру құқығын жүзеге асыру туралы ұсыныс жасау туралы ұсыныс немесе ұсыныс жасауға шақыру болып табылмайды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,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мұндай ұсыныс заңсыз болып табылатын кез келген юрисдикциядан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болатын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>тұлғалардан</w:t>
      </w:r>
      <w:r w:rsidRPr="00EC0E4D"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қабылданбайды.</w:t>
      </w:r>
      <w:r>
        <w:rPr>
          <w:rFonts w:ascii="Times New Roman" w:hAnsi="Times New Roman" w:cs="Times New Roman"/>
          <w:bCs/>
          <w:color w:val="000000" w:themeColor="text2"/>
          <w:szCs w:val="22"/>
          <w:lang w:val="kk-KZ"/>
        </w:rPr>
        <w:t xml:space="preserve"> </w:t>
      </w:r>
      <w:r w:rsidRPr="00A874DF">
        <w:rPr>
          <w:lang w:val="kk-KZ"/>
        </w:rPr>
        <w:t xml:space="preserve">Осы </w:t>
      </w:r>
      <w:r>
        <w:rPr>
          <w:lang w:val="kk-KZ"/>
        </w:rPr>
        <w:t>хабарлама</w:t>
      </w:r>
      <w:r w:rsidRPr="00A874DF">
        <w:rPr>
          <w:lang w:val="kk-KZ"/>
        </w:rPr>
        <w:t xml:space="preserve"> да, </w:t>
      </w:r>
      <w:r>
        <w:rPr>
          <w:lang w:val="kk-KZ"/>
        </w:rPr>
        <w:t>С</w:t>
      </w:r>
      <w:r w:rsidRPr="00A874DF">
        <w:rPr>
          <w:lang w:val="kk-KZ"/>
        </w:rPr>
        <w:t>атып алу ұсыныс</w:t>
      </w:r>
      <w:r>
        <w:rPr>
          <w:lang w:val="kk-KZ"/>
        </w:rPr>
        <w:t>ын</w:t>
      </w:r>
      <w:r w:rsidRPr="00A874DF">
        <w:rPr>
          <w:lang w:val="kk-KZ"/>
        </w:rPr>
        <w:t xml:space="preserve"> тарату да, </w:t>
      </w:r>
      <w:r>
        <w:rPr>
          <w:lang w:val="kk-KZ"/>
        </w:rPr>
        <w:t>О</w:t>
      </w:r>
      <w:r w:rsidRPr="00A874DF">
        <w:rPr>
          <w:lang w:val="kk-KZ"/>
        </w:rPr>
        <w:t xml:space="preserve">блигацияларды кез келген сатып алу да ешбір жағдайда осы </w:t>
      </w:r>
      <w:r>
        <w:rPr>
          <w:lang w:val="kk-KZ"/>
        </w:rPr>
        <w:t>құжаттың</w:t>
      </w:r>
      <w:r w:rsidRPr="00A874DF">
        <w:rPr>
          <w:lang w:val="kk-KZ"/>
        </w:rPr>
        <w:t xml:space="preserve"> күнінен бастап Эмитенттің немесе KMG Finance істерінде ешқандай өзгерістер болмағанын немесе осы құжатта ұсынылған ақпарат осы </w:t>
      </w:r>
      <w:r>
        <w:rPr>
          <w:lang w:val="kk-KZ"/>
        </w:rPr>
        <w:t>құжаттың</w:t>
      </w:r>
      <w:r w:rsidRPr="00A874DF">
        <w:rPr>
          <w:lang w:val="kk-KZ"/>
        </w:rPr>
        <w:t xml:space="preserve"> күнінен кейінгі кез келген уақыттағы жағдай бойынша дұрыс болып табылатынын білдірмеуге тиіс.</w:t>
      </w:r>
    </w:p>
    <w:p w:rsidRPr="00FA3E74" w:rsidR="006C6455" w:rsidP="00E62B36" w:rsidRDefault="006C6455" w14:paraId="4D8EAC61" w14:textId="1DDD18C4">
      <w:pPr>
        <w:widowControl w:val="0"/>
        <w:spacing w:before="120"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kk-KZ"/>
        </w:rPr>
      </w:pPr>
      <w:r w:rsidRPr="00FA3E74">
        <w:rPr>
          <w:lang w:val="kk-KZ"/>
        </w:rPr>
        <w:t>.</w:t>
      </w:r>
    </w:p>
    <w:p w:rsidR="00901D3F" w:rsidP="00901D3F" w:rsidRDefault="00901D3F" w14:paraId="26614D5D" w14:textId="77777777">
      <w:pPr>
        <w:pStyle w:val="wText"/>
        <w:spacing w:before="120" w:after="120"/>
        <w:rPr>
          <w:rFonts w:eastAsiaTheme="minorEastAsia"/>
          <w:b/>
          <w:color w:val="000000" w:themeColor="text2"/>
          <w:lang w:val="kk-KZ" w:eastAsia="zh-CN"/>
        </w:rPr>
      </w:pPr>
      <w:r w:rsidRPr="002C0F2C">
        <w:rPr>
          <w:rFonts w:eastAsiaTheme="minorEastAsia"/>
          <w:b/>
          <w:color w:val="000000" w:themeColor="text2"/>
          <w:lang w:val="kk-KZ" w:eastAsia="zh-CN"/>
        </w:rPr>
        <w:t>Ұлыбритания</w:t>
      </w:r>
    </w:p>
    <w:p w:rsidR="00212160" w:rsidP="00212160" w:rsidRDefault="00212160" w14:paraId="351423F1" w14:textId="77777777">
      <w:pPr>
        <w:pStyle w:val="wText"/>
        <w:spacing w:before="120" w:after="120"/>
        <w:rPr>
          <w:lang w:val="kk-KZ"/>
        </w:rPr>
      </w:pPr>
      <w:r w:rsidRPr="00404B18">
        <w:rPr>
          <w:lang w:val="kk-KZ"/>
        </w:rPr>
        <w:t xml:space="preserve">Эмитент тендерлік ұсынысқа қатысты </w:t>
      </w:r>
      <w:r>
        <w:rPr>
          <w:lang w:val="kk-KZ"/>
        </w:rPr>
        <w:t>хабарламаны</w:t>
      </w:r>
      <w:r w:rsidRPr="00404B18">
        <w:rPr>
          <w:lang w:val="kk-KZ"/>
        </w:rPr>
        <w:t xml:space="preserve">, </w:t>
      </w:r>
      <w:r>
        <w:rPr>
          <w:lang w:val="kk-KZ"/>
        </w:rPr>
        <w:t>С</w:t>
      </w:r>
      <w:r w:rsidRPr="00404B18">
        <w:rPr>
          <w:lang w:val="kk-KZ"/>
        </w:rPr>
        <w:t>атып алу ұсыныс</w:t>
      </w:r>
      <w:r>
        <w:rPr>
          <w:lang w:val="kk-KZ"/>
        </w:rPr>
        <w:t>ын</w:t>
      </w:r>
      <w:r w:rsidRPr="00404B18">
        <w:rPr>
          <w:lang w:val="kk-KZ"/>
        </w:rPr>
        <w:t xml:space="preserve"> және қандай да бір өзге құжаттар мен материалдарды таратпайды, өйткені мұндай құжаттарды және (немесе) материалдарды 2000 жылғы </w:t>
      </w:r>
      <w:r>
        <w:rPr>
          <w:lang w:val="kk-KZ"/>
        </w:rPr>
        <w:t>«Қ</w:t>
      </w:r>
      <w:r w:rsidRPr="00404B18">
        <w:rPr>
          <w:lang w:val="kk-KZ"/>
        </w:rPr>
        <w:t>аржылық қызметтер және нарықтар туралы</w:t>
      </w:r>
      <w:r>
        <w:rPr>
          <w:lang w:val="kk-KZ"/>
        </w:rPr>
        <w:t>»</w:t>
      </w:r>
      <w:r w:rsidRPr="00404B18">
        <w:rPr>
          <w:lang w:val="kk-KZ"/>
        </w:rPr>
        <w:t xml:space="preserve"> Заңның 21-бөлімі контекстінде оған енгізілген барлық өзгерістер мен толықтырулармен бірде-бір уәкілетті тұлға бекітпеген (</w:t>
      </w:r>
      <w:r>
        <w:rPr>
          <w:lang w:val="kk-KZ"/>
        </w:rPr>
        <w:t>«</w:t>
      </w:r>
      <w:r w:rsidRPr="00404B18">
        <w:rPr>
          <w:b/>
          <w:bCs/>
          <w:lang w:val="kk-KZ"/>
        </w:rPr>
        <w:t>FSMA</w:t>
      </w:r>
      <w:r>
        <w:rPr>
          <w:lang w:val="kk-KZ"/>
        </w:rPr>
        <w:t>»</w:t>
      </w:r>
      <w:r w:rsidRPr="00404B18">
        <w:rPr>
          <w:lang w:val="kk-KZ"/>
        </w:rPr>
        <w:t>).</w:t>
      </w:r>
      <w:r>
        <w:rPr>
          <w:lang w:val="kk-KZ"/>
        </w:rPr>
        <w:t xml:space="preserve"> </w:t>
      </w:r>
      <w:r w:rsidRPr="000F48C1">
        <w:rPr>
          <w:lang w:val="kk-KZ"/>
        </w:rPr>
        <w:t xml:space="preserve">Тиісінше, (i) Ұлыбританиядағы Инвестициялар жөніндегі мамандардың анықтамасына түсетін адамдарды (2000 жылғы </w:t>
      </w:r>
      <w:r>
        <w:rPr>
          <w:lang w:val="kk-KZ"/>
        </w:rPr>
        <w:t>«Қ</w:t>
      </w:r>
      <w:r w:rsidRPr="000F48C1">
        <w:rPr>
          <w:lang w:val="kk-KZ"/>
        </w:rPr>
        <w:t>аржылық қызметтер және нарықтар туралы</w:t>
      </w:r>
      <w:r>
        <w:rPr>
          <w:lang w:val="kk-KZ"/>
        </w:rPr>
        <w:t>»</w:t>
      </w:r>
      <w:r w:rsidRPr="000F48C1">
        <w:rPr>
          <w:lang w:val="kk-KZ"/>
        </w:rPr>
        <w:t xml:space="preserve"> Заңның 19(5) бабында (қаржылық өнімдерді жылжыту), 2005 жылғы бұйры</w:t>
      </w:r>
      <w:r>
        <w:rPr>
          <w:lang w:val="kk-KZ"/>
        </w:rPr>
        <w:t>ғының</w:t>
      </w:r>
      <w:r w:rsidRPr="000F48C1">
        <w:rPr>
          <w:lang w:val="kk-KZ"/>
        </w:rPr>
        <w:t xml:space="preserve"> (</w:t>
      </w:r>
      <w:r>
        <w:rPr>
          <w:lang w:val="kk-KZ"/>
        </w:rPr>
        <w:t>«Қ</w:t>
      </w:r>
      <w:r w:rsidRPr="000F48C1">
        <w:rPr>
          <w:lang w:val="kk-KZ"/>
        </w:rPr>
        <w:t>аржылық өнімдерді жылжыту туралы бұйрық</w:t>
      </w:r>
      <w:r>
        <w:rPr>
          <w:lang w:val="kk-KZ"/>
        </w:rPr>
        <w:t>»</w:t>
      </w:r>
      <w:r w:rsidRPr="000F48C1">
        <w:rPr>
          <w:lang w:val="kk-KZ"/>
        </w:rPr>
        <w:t>)</w:t>
      </w:r>
      <w:r>
        <w:rPr>
          <w:lang w:val="kk-KZ"/>
        </w:rPr>
        <w:t xml:space="preserve"> </w:t>
      </w:r>
      <w:r w:rsidRPr="000F48C1">
        <w:rPr>
          <w:lang w:val="kk-KZ"/>
        </w:rPr>
        <w:t xml:space="preserve">көрсетілгендей), (ii) </w:t>
      </w:r>
      <w:r>
        <w:rPr>
          <w:lang w:val="kk-KZ"/>
        </w:rPr>
        <w:t>«Қ</w:t>
      </w:r>
      <w:r w:rsidRPr="000F48C1">
        <w:rPr>
          <w:lang w:val="kk-KZ"/>
        </w:rPr>
        <w:t>аржы өнімдерін ілгерілету туралы бұйрықтың</w:t>
      </w:r>
      <w:r>
        <w:rPr>
          <w:lang w:val="kk-KZ"/>
        </w:rPr>
        <w:t>»</w:t>
      </w:r>
      <w:r w:rsidRPr="000F48C1">
        <w:rPr>
          <w:lang w:val="kk-KZ"/>
        </w:rPr>
        <w:t xml:space="preserve"> 43(2) - бабының күші қолданылатын адамдарға, оның ішінде </w:t>
      </w:r>
      <w:r>
        <w:rPr>
          <w:lang w:val="kk-KZ"/>
        </w:rPr>
        <w:t>Ұсынушылардың</w:t>
      </w:r>
      <w:r w:rsidRPr="000F48C1">
        <w:rPr>
          <w:lang w:val="kk-KZ"/>
        </w:rPr>
        <w:t xml:space="preserve"> </w:t>
      </w:r>
      <w:r w:rsidRPr="000F48C1">
        <w:rPr>
          <w:lang w:val="kk-KZ"/>
        </w:rPr>
        <w:lastRenderedPageBreak/>
        <w:t>жұмыс істеп тұрған мүшелері мен кредиторларына, (</w:t>
      </w:r>
      <w:r w:rsidRPr="00D53FE6">
        <w:rPr>
          <w:lang w:val="kk-KZ"/>
        </w:rPr>
        <w:t>iii</w:t>
      </w:r>
      <w:r w:rsidRPr="000F48C1">
        <w:rPr>
          <w:lang w:val="kk-KZ"/>
        </w:rPr>
        <w:t>) Ұлыбританиядан тыс орналасқан адамдарға немесе (</w:t>
      </w:r>
      <w:r w:rsidRPr="00D53FE6">
        <w:rPr>
          <w:lang w:val="kk-KZ"/>
        </w:rPr>
        <w:t>iv</w:t>
      </w:r>
      <w:r w:rsidRPr="000F48C1">
        <w:rPr>
          <w:lang w:val="kk-KZ"/>
        </w:rPr>
        <w:t xml:space="preserve">) </w:t>
      </w:r>
      <w:r>
        <w:rPr>
          <w:lang w:val="kk-KZ"/>
        </w:rPr>
        <w:t>«Қ</w:t>
      </w:r>
      <w:r w:rsidRPr="000F48C1">
        <w:rPr>
          <w:lang w:val="kk-KZ"/>
        </w:rPr>
        <w:t>аржы өнімдерін ілгерілету туралы</w:t>
      </w:r>
      <w:r>
        <w:rPr>
          <w:lang w:val="kk-KZ"/>
        </w:rPr>
        <w:t>»</w:t>
      </w:r>
      <w:r w:rsidRPr="000F48C1">
        <w:rPr>
          <w:lang w:val="kk-KZ"/>
        </w:rPr>
        <w:t xml:space="preserve"> бұйрыққа сәйкес кез келген басқа адамдарға</w:t>
      </w:r>
      <w:r w:rsidRPr="00D53FE6">
        <w:rPr>
          <w:lang w:val="kk-KZ"/>
        </w:rPr>
        <w:t xml:space="preserve"> </w:t>
      </w:r>
      <w:r w:rsidRPr="000F48C1">
        <w:rPr>
          <w:lang w:val="kk-KZ"/>
        </w:rPr>
        <w:t xml:space="preserve">(мұндай тұлғалардың барлығы бірге </w:t>
      </w:r>
      <w:r>
        <w:rPr>
          <w:lang w:val="kk-KZ"/>
        </w:rPr>
        <w:t>«Т</w:t>
      </w:r>
      <w:r w:rsidRPr="000F48C1">
        <w:rPr>
          <w:lang w:val="kk-KZ"/>
        </w:rPr>
        <w:t>иісті тұлғалар</w:t>
      </w:r>
      <w:r>
        <w:rPr>
          <w:lang w:val="kk-KZ"/>
        </w:rPr>
        <w:t>»</w:t>
      </w:r>
      <w:r w:rsidRPr="000F48C1">
        <w:rPr>
          <w:lang w:val="kk-KZ"/>
        </w:rPr>
        <w:t xml:space="preserve"> деп аталады) және осы құжатта көзделген транзакциялар </w:t>
      </w:r>
      <w:r>
        <w:rPr>
          <w:lang w:val="kk-KZ"/>
        </w:rPr>
        <w:t>тек Т</w:t>
      </w:r>
      <w:r w:rsidRPr="000F48C1">
        <w:rPr>
          <w:lang w:val="kk-KZ"/>
        </w:rPr>
        <w:t>иісті тұлғаларға қолжетімді болады және олар ғана жасай</w:t>
      </w:r>
      <w:r>
        <w:rPr>
          <w:lang w:val="kk-KZ"/>
        </w:rPr>
        <w:t xml:space="preserve"> алатын жағдайларды</w:t>
      </w:r>
      <w:r w:rsidRPr="000F48C1">
        <w:rPr>
          <w:lang w:val="kk-KZ"/>
        </w:rPr>
        <w:t xml:space="preserve"> қоспағанда</w:t>
      </w:r>
      <w:r>
        <w:rPr>
          <w:lang w:val="kk-KZ"/>
        </w:rPr>
        <w:t xml:space="preserve">, </w:t>
      </w:r>
      <w:r w:rsidRPr="000F48C1">
        <w:rPr>
          <w:lang w:val="kk-KZ"/>
        </w:rPr>
        <w:t>мұндай құжаттар және (немесе) материалдар таратылмайды және Ұлыбританияда көпшілікке берілмеуі керек</w:t>
      </w:r>
      <w:r>
        <w:rPr>
          <w:lang w:val="kk-KZ"/>
        </w:rPr>
        <w:t xml:space="preserve">. </w:t>
      </w:r>
      <w:r w:rsidRPr="002C0F2C">
        <w:rPr>
          <w:lang w:val="kk-KZ"/>
        </w:rPr>
        <w:t xml:space="preserve">Тиісті тұлға болып табылмайтын бірде-бір тұлға осы </w:t>
      </w:r>
      <w:r>
        <w:rPr>
          <w:lang w:val="kk-KZ"/>
        </w:rPr>
        <w:t>хабарлама</w:t>
      </w:r>
      <w:r w:rsidRPr="002C0F2C">
        <w:rPr>
          <w:lang w:val="kk-KZ"/>
        </w:rPr>
        <w:t xml:space="preserve"> немесе оның қандай да бір бөлігі негізінде әрекет етпеуге немесе оған сүйенбеуге тиіс.</w:t>
      </w:r>
    </w:p>
    <w:p w:rsidRPr="00A80F16" w:rsidR="00212160" w:rsidP="00212160" w:rsidRDefault="00212160" w14:paraId="6DE17639" w14:textId="77777777">
      <w:pPr>
        <w:pStyle w:val="wText"/>
        <w:spacing w:before="120" w:after="120"/>
        <w:rPr>
          <w:rFonts w:eastAsiaTheme="minorEastAsia"/>
          <w:b/>
          <w:color w:val="000000" w:themeColor="text2"/>
          <w:lang w:val="kk-KZ" w:eastAsia="zh-CN"/>
        </w:rPr>
      </w:pPr>
      <w:r w:rsidRPr="00A80F16">
        <w:rPr>
          <w:rFonts w:eastAsiaTheme="minorEastAsia"/>
          <w:b/>
          <w:color w:val="000000" w:themeColor="text2"/>
          <w:lang w:val="kk-KZ" w:eastAsia="zh-CN"/>
        </w:rPr>
        <w:t>Қазақстан Республикасы</w:t>
      </w:r>
    </w:p>
    <w:p w:rsidRPr="00212160" w:rsidR="00E64AE5" w:rsidP="00212160" w:rsidRDefault="00212160" w14:paraId="7E06EC11" w14:textId="01C63D8E">
      <w:pPr>
        <w:pStyle w:val="BodyText"/>
        <w:spacing w:before="120" w:after="120" w:line="240" w:lineRule="auto"/>
        <w:jc w:val="both"/>
        <w:rPr>
          <w:rFonts w:ascii="Times New Roman" w:hAnsi="Times New Roman" w:cs="Times New Roman"/>
          <w:szCs w:val="22"/>
          <w:lang w:val="kk-KZ"/>
        </w:rPr>
      </w:pPr>
      <w:r w:rsidRPr="00DE5F75">
        <w:rPr>
          <w:rFonts w:ascii="Times New Roman" w:hAnsi="Times New Roman" w:cs="Times New Roman"/>
          <w:szCs w:val="22"/>
          <w:lang w:val="kk-KZ"/>
        </w:rPr>
        <w:t xml:space="preserve">KASE және AIX қағидаларын қоса алғанда, Қазақстан Республикасының заңдарында және нормативтік актілерінде көзделген жағдайларды қоспағанда, Тендерлік ұсыныс Қазақстан Республикасында тікелей де, жанама да іске асырылмайды. Осы </w:t>
      </w:r>
      <w:r>
        <w:rPr>
          <w:rFonts w:ascii="Times New Roman" w:hAnsi="Times New Roman" w:cs="Times New Roman"/>
          <w:szCs w:val="22"/>
          <w:lang w:val="kk-KZ"/>
        </w:rPr>
        <w:t>хабарлама</w:t>
      </w:r>
      <w:r w:rsidRPr="00DE5F75">
        <w:rPr>
          <w:rFonts w:ascii="Times New Roman" w:hAnsi="Times New Roman" w:cs="Times New Roman"/>
          <w:szCs w:val="22"/>
          <w:lang w:val="kk-KZ"/>
        </w:rPr>
        <w:t xml:space="preserve"> мен </w:t>
      </w:r>
      <w:r>
        <w:rPr>
          <w:rFonts w:ascii="Times New Roman" w:hAnsi="Times New Roman" w:cs="Times New Roman"/>
          <w:szCs w:val="22"/>
          <w:lang w:val="kk-KZ"/>
        </w:rPr>
        <w:t>С</w:t>
      </w:r>
      <w:r w:rsidRPr="00DE5F75">
        <w:rPr>
          <w:rFonts w:ascii="Times New Roman" w:hAnsi="Times New Roman" w:cs="Times New Roman"/>
          <w:szCs w:val="22"/>
          <w:lang w:val="kk-KZ"/>
        </w:rPr>
        <w:t>атып алу ұсыныс</w:t>
      </w:r>
      <w:r>
        <w:rPr>
          <w:rFonts w:ascii="Times New Roman" w:hAnsi="Times New Roman" w:cs="Times New Roman"/>
          <w:szCs w:val="22"/>
          <w:lang w:val="kk-KZ"/>
        </w:rPr>
        <w:t>ы</w:t>
      </w:r>
      <w:r w:rsidRPr="00DE5F75">
        <w:rPr>
          <w:rFonts w:ascii="Times New Roman" w:hAnsi="Times New Roman" w:cs="Times New Roman"/>
          <w:szCs w:val="22"/>
          <w:lang w:val="kk-KZ"/>
        </w:rPr>
        <w:t xml:space="preserve"> Қазақстан Республикасының Қаржы нарығын реттеу және дамыту агенттігінің және </w:t>
      </w:r>
      <w:r w:rsidRPr="005A72CA">
        <w:rPr>
          <w:rFonts w:ascii="Times New Roman" w:hAnsi="Times New Roman" w:cs="Times New Roman"/>
          <w:szCs w:val="22"/>
          <w:lang w:val="kk-KZ"/>
        </w:rPr>
        <w:t>АХҚО қаржы қызметтерін реттеу жөніндегі Комитеті</w:t>
      </w:r>
      <w:r>
        <w:rPr>
          <w:rFonts w:ascii="Times New Roman" w:hAnsi="Times New Roman" w:cs="Times New Roman"/>
          <w:szCs w:val="22"/>
          <w:lang w:val="kk-KZ"/>
        </w:rPr>
        <w:t>нің</w:t>
      </w:r>
      <w:r w:rsidRPr="005A72CA">
        <w:rPr>
          <w:rFonts w:ascii="Times New Roman" w:hAnsi="Times New Roman" w:cs="Times New Roman"/>
          <w:szCs w:val="22"/>
          <w:lang w:val="kk-KZ"/>
        </w:rPr>
        <w:t xml:space="preserve"> </w:t>
      </w:r>
      <w:r w:rsidRPr="00DE5F75">
        <w:rPr>
          <w:rFonts w:ascii="Times New Roman" w:hAnsi="Times New Roman" w:cs="Times New Roman"/>
          <w:szCs w:val="22"/>
          <w:lang w:val="kk-KZ"/>
        </w:rPr>
        <w:t>қарауына немесе мақұлдауына ұсынылмады және ұсынылмайды.</w:t>
      </w:r>
      <w:r>
        <w:rPr>
          <w:rFonts w:ascii="Times New Roman" w:hAnsi="Times New Roman" w:cs="Times New Roman"/>
          <w:szCs w:val="22"/>
          <w:lang w:val="kk-KZ"/>
        </w:rPr>
        <w:t xml:space="preserve"> </w:t>
      </w:r>
    </w:p>
    <w:p w:rsidRPr="00A80F16" w:rsidR="00212160" w:rsidP="00212160" w:rsidRDefault="00212160" w14:paraId="45FED87A" w14:textId="77777777">
      <w:pPr>
        <w:pStyle w:val="wText"/>
        <w:spacing w:before="120" w:after="120"/>
        <w:rPr>
          <w:rFonts w:eastAsiaTheme="minorEastAsia"/>
          <w:b/>
          <w:color w:val="000000" w:themeColor="text2"/>
          <w:lang w:val="kk-KZ" w:eastAsia="zh-CN"/>
        </w:rPr>
      </w:pPr>
      <w:r w:rsidRPr="00A80F16">
        <w:rPr>
          <w:rFonts w:eastAsiaTheme="minorEastAsia"/>
          <w:b/>
          <w:color w:val="000000" w:themeColor="text2"/>
          <w:lang w:val="kk-KZ" w:eastAsia="zh-CN"/>
        </w:rPr>
        <w:t>Нидерланды</w:t>
      </w:r>
    </w:p>
    <w:p w:rsidRPr="00212160" w:rsidR="00212160" w:rsidP="00212160" w:rsidRDefault="00212160" w14:paraId="0B10DB3E" w14:textId="4987BA48">
      <w:pPr>
        <w:pStyle w:val="BodyText"/>
        <w:spacing w:before="120" w:after="120" w:line="240" w:lineRule="auto"/>
        <w:jc w:val="both"/>
        <w:rPr>
          <w:rFonts w:ascii="Times New Roman" w:hAnsi="Times New Roman" w:cs="Times New Roman"/>
          <w:szCs w:val="22"/>
          <w:lang w:val="kk-KZ"/>
        </w:rPr>
      </w:pP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Нидерландыда Тендерлік ұсыныс ЕО регламентінде (2017/1129) көрсетілгендей, оған енгізілген түзетулермен (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«</w:t>
      </w:r>
      <w:r w:rsidRPr="003E7C39">
        <w:rPr>
          <w:rFonts w:ascii="Times New Roman" w:hAnsi="Times New Roman" w:cs="Times New Roman" w:eastAsiaTheme="majorEastAsia"/>
          <w:b/>
          <w:bCs/>
          <w:color w:val="auto"/>
          <w:szCs w:val="22"/>
          <w:lang w:val="kk-KZ"/>
        </w:rPr>
        <w:t xml:space="preserve">Эмиссия </w:t>
      </w:r>
      <w:r w:rsidRPr="003E7C39" w:rsidR="00437702">
        <w:rPr>
          <w:rFonts w:ascii="Times New Roman" w:hAnsi="Times New Roman" w:cs="Times New Roman" w:eastAsiaTheme="majorEastAsia"/>
          <w:b/>
          <w:bCs/>
          <w:color w:val="auto"/>
          <w:szCs w:val="22"/>
          <w:lang w:val="kk-KZ"/>
        </w:rPr>
        <w:t>проспектісі</w:t>
      </w:r>
      <w:r w:rsidRPr="003E7C39">
        <w:rPr>
          <w:rFonts w:ascii="Times New Roman" w:hAnsi="Times New Roman" w:cs="Times New Roman" w:eastAsiaTheme="majorEastAsia"/>
          <w:b/>
          <w:bCs/>
          <w:color w:val="auto"/>
          <w:szCs w:val="22"/>
          <w:lang w:val="kk-KZ"/>
        </w:rPr>
        <w:t xml:space="preserve"> туралы ереже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»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) білікті инвесторлардан басқа ешбір тұлғаға да, қандай да бір тұлғаның есебіне де тікелей де, жанама да берілмейді. Осы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хабарлама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да,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С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атып алу ұсыныс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ы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д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а,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Т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ендерлік ұсынысқа қатысты басқа құжаттар немесе материалдар да берілмеген және Нидерланды қаржы нарықтары басқармасына (</w:t>
      </w:r>
      <w:r w:rsidRPr="003D034C">
        <w:rPr>
          <w:rFonts w:ascii="Times New Roman" w:hAnsi="Times New Roman" w:cs="Times New Roman" w:eastAsiaTheme="majorEastAsia"/>
          <w:i/>
          <w:iCs/>
          <w:color w:val="auto"/>
          <w:szCs w:val="22"/>
          <w:lang w:val="kk-KZ"/>
        </w:rPr>
        <w:t>de Autoriteit Financiële Markten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) мақұлдау үшін берілмейді. Осылайша, осы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хабарлама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да,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С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атып алу ұсыныс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ы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д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а,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Т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ендерлік ұсынысқа қатысты кез келген басқа құжаттама немесе материалдар да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«</w:t>
      </w:r>
      <w:r w:rsidRPr="006F3FF6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Эмиссия </w:t>
      </w:r>
      <w:r w:rsidRPr="006F3FF6" w:rsidR="000A590D">
        <w:rPr>
          <w:rFonts w:ascii="Times New Roman" w:hAnsi="Times New Roman" w:cs="Times New Roman" w:eastAsiaTheme="majorEastAsia"/>
          <w:color w:val="auto"/>
          <w:szCs w:val="22"/>
          <w:lang w:val="kk-KZ"/>
        </w:rPr>
        <w:t>проспектісі</w:t>
      </w:r>
      <w:r w:rsidRPr="006F3FF6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туралы ереже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де» 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көрсетілгендей бекітілген эмиссия </w:t>
      </w:r>
      <w:r w:rsidRPr="00F76915" w:rsidR="000A590D">
        <w:rPr>
          <w:rFonts w:ascii="Times New Roman" w:hAnsi="Times New Roman" w:cs="Times New Roman" w:eastAsiaTheme="majorEastAsia"/>
          <w:color w:val="auto"/>
          <w:szCs w:val="22"/>
          <w:lang w:val="kk-KZ"/>
        </w:rPr>
        <w:t>проспектісі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ретінде жіктелмейді. Тиісінше, Нидерландыда тендерлік ұсынысты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«</w:t>
      </w:r>
      <w:r w:rsidRPr="006F3FF6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Эмиссия </w:t>
      </w:r>
      <w:r w:rsidRPr="006F3FF6" w:rsidR="000A590D">
        <w:rPr>
          <w:rFonts w:ascii="Times New Roman" w:hAnsi="Times New Roman" w:cs="Times New Roman" w:eastAsiaTheme="majorEastAsia"/>
          <w:color w:val="auto"/>
          <w:szCs w:val="22"/>
          <w:lang w:val="kk-KZ"/>
        </w:rPr>
        <w:t>проспектісі</w:t>
      </w:r>
      <w:r w:rsidRPr="006F3FF6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туралы ереже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де»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көзделген түсінікте жария ұсыныс түрінде орналастыруға болмайды, сондай-ақ Тендерлік ұсынысты Нидерландыдағы бірде-бір тұлғаға жарнамалауға да, ұсынуға да болмайды (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«</w:t>
      </w:r>
      <w:r w:rsidRPr="000C11C8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Эмиссия </w:t>
      </w:r>
      <w:r w:rsidRPr="000C11C8" w:rsidR="000A590D">
        <w:rPr>
          <w:rFonts w:ascii="Times New Roman" w:hAnsi="Times New Roman" w:cs="Times New Roman" w:eastAsiaTheme="majorEastAsia"/>
          <w:color w:val="auto"/>
          <w:szCs w:val="22"/>
          <w:lang w:val="kk-KZ"/>
        </w:rPr>
        <w:t>проспектісі</w:t>
      </w:r>
      <w:r w:rsidRPr="000C11C8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туралы ереже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»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тұрғысынан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«Б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ілікті инвесторларды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» 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қоспағанда). Осы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хабарлама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,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С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атып алу ұсыныс және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Т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ендерлік ұсынысқа қатысты кез келген басқа құжаттама немесе материалдар (меморандумдарды, ақпараттық циркулярларды, брошюраларды немесе ұқсас құжаттарды қоса алғанда) жіберілмеді және берілмеді, сондай-ақ мұндай тұлғаларға тікелей де, жанама да жіберілмейді немесе берілмейді. Нидерландыға келетін болсақ, осы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хабарлама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мен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С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атып алу ұсыныс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ы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тек жоғарыда аталған білікті инвесторлардың жеке пайдалануы үшін және тек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Т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ендерлік ұсынысты жүзеге асыру мақсатында берілді. Тиісінше, осы хабарландыруда және 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С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>атып алу ұсыныс</w:t>
      </w:r>
      <w:r>
        <w:rPr>
          <w:rFonts w:ascii="Times New Roman" w:hAnsi="Times New Roman" w:cs="Times New Roman" w:eastAsiaTheme="majorEastAsia"/>
          <w:color w:val="auto"/>
          <w:szCs w:val="22"/>
          <w:lang w:val="kk-KZ"/>
        </w:rPr>
        <w:t>ында</w:t>
      </w:r>
      <w:r w:rsidRPr="00F76915">
        <w:rPr>
          <w:rFonts w:ascii="Times New Roman" w:hAnsi="Times New Roman" w:cs="Times New Roman" w:eastAsiaTheme="majorEastAsia"/>
          <w:color w:val="auto"/>
          <w:szCs w:val="22"/>
          <w:lang w:val="kk-KZ"/>
        </w:rPr>
        <w:t xml:space="preserve"> қамтылған ақпаратты қандай да бір өзге мақсаттарда пайдалануға </w:t>
      </w:r>
      <w:r w:rsidRPr="00212160">
        <w:rPr>
          <w:rFonts w:ascii="Times New Roman" w:hAnsi="Times New Roman" w:cs="Times New Roman"/>
          <w:szCs w:val="22"/>
          <w:lang w:val="kk-KZ"/>
        </w:rPr>
        <w:t>немесе Нидерландыдағы кез келген басқа тұлғаға беруге болмайды.</w:t>
      </w:r>
    </w:p>
    <w:p w:rsidR="00212160" w:rsidP="00212160" w:rsidRDefault="00212160" w14:paraId="2A6FF579" w14:textId="77777777">
      <w:pPr>
        <w:pStyle w:val="BodyText"/>
        <w:spacing w:before="120" w:after="120" w:line="240" w:lineRule="auto"/>
        <w:jc w:val="both"/>
        <w:rPr>
          <w:rFonts w:ascii="Times New Roman" w:hAnsi="Times New Roman" w:cs="Times New Roman"/>
          <w:szCs w:val="22"/>
          <w:lang w:val="kk-KZ"/>
        </w:rPr>
      </w:pPr>
      <w:r w:rsidRPr="00212160">
        <w:rPr>
          <w:rFonts w:ascii="Times New Roman" w:hAnsi="Times New Roman" w:cs="Times New Roman"/>
          <w:b/>
          <w:bCs/>
          <w:szCs w:val="22"/>
          <w:lang w:val="kk-KZ"/>
        </w:rPr>
        <w:t>Италия</w:t>
      </w:r>
    </w:p>
    <w:p w:rsidR="00212160" w:rsidP="00212160" w:rsidRDefault="00212160" w14:paraId="558F61BB" w14:textId="54D5D597">
      <w:pPr>
        <w:pStyle w:val="BodyText"/>
        <w:spacing w:before="120" w:after="120" w:line="240" w:lineRule="auto"/>
        <w:jc w:val="both"/>
        <w:rPr>
          <w:lang w:val="kk-KZ"/>
        </w:rPr>
      </w:pPr>
      <w:r w:rsidRPr="00212160">
        <w:rPr>
          <w:rFonts w:ascii="Times New Roman" w:hAnsi="Times New Roman" w:cs="Times New Roman"/>
          <w:szCs w:val="22"/>
          <w:lang w:val="kk-KZ"/>
        </w:rPr>
        <w:t>Осы хабарлама да, Тендерлік ұсыныс та, Сатып алу ұсынысы да, Тендерлік ұсыныстарға қатысты кез келген басқа құжаттама немесе материалдар да Итальяндық заңдар мен ережелерге сәйкес ресімдеу</w:t>
      </w:r>
      <w:r w:rsidRPr="003D0AAA">
        <w:rPr>
          <w:lang w:val="kk-KZ"/>
        </w:rPr>
        <w:t xml:space="preserve"> рәсімінен өту үшін Италияның бағалы қағаздар нарығын қадағалау және биржалар жөніндегі комиссиясына (</w:t>
      </w:r>
      <w:r w:rsidRPr="003D034C">
        <w:rPr>
          <w:i/>
          <w:lang w:val="kk-KZ"/>
        </w:rPr>
        <w:t>Commission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Nazionale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per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le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Società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e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la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Borsa</w:t>
      </w:r>
      <w:r w:rsidRPr="003D0AAA">
        <w:rPr>
          <w:lang w:val="kk-KZ"/>
        </w:rPr>
        <w:t>) (</w:t>
      </w:r>
      <w:r>
        <w:rPr>
          <w:lang w:val="kk-KZ"/>
        </w:rPr>
        <w:t>«</w:t>
      </w:r>
      <w:r w:rsidRPr="00364811">
        <w:rPr>
          <w:b/>
          <w:bCs/>
          <w:lang w:val="kk-KZ"/>
        </w:rPr>
        <w:t>CONSOB</w:t>
      </w:r>
      <w:r>
        <w:rPr>
          <w:lang w:val="kk-KZ"/>
        </w:rPr>
        <w:t>»</w:t>
      </w:r>
      <w:r w:rsidRPr="003D0AAA">
        <w:rPr>
          <w:lang w:val="kk-KZ"/>
        </w:rPr>
        <w:t>) ұсынылмады және ұсынылмайды. Тендерлік ұсыныс</w:t>
      </w:r>
      <w:r>
        <w:rPr>
          <w:lang w:val="kk-KZ"/>
        </w:rPr>
        <w:t xml:space="preserve"> </w:t>
      </w:r>
      <w:r w:rsidRPr="003D0AAA">
        <w:rPr>
          <w:lang w:val="kk-KZ"/>
        </w:rPr>
        <w:t xml:space="preserve">1998 жылғы 24 ақпандағы № 58 </w:t>
      </w:r>
      <w:r>
        <w:rPr>
          <w:lang w:val="kk-KZ"/>
        </w:rPr>
        <w:t>И</w:t>
      </w:r>
      <w:r w:rsidRPr="003D0AAA">
        <w:rPr>
          <w:lang w:val="kk-KZ"/>
        </w:rPr>
        <w:t xml:space="preserve">тальяндық заңнамалық </w:t>
      </w:r>
      <w:r>
        <w:rPr>
          <w:lang w:val="kk-KZ"/>
        </w:rPr>
        <w:t>ж</w:t>
      </w:r>
      <w:r w:rsidRPr="003D0AAA">
        <w:rPr>
          <w:lang w:val="kk-KZ"/>
        </w:rPr>
        <w:t>арлықтың оған енгізілген түзетулермен (</w:t>
      </w:r>
      <w:r>
        <w:rPr>
          <w:lang w:val="kk-KZ"/>
        </w:rPr>
        <w:t>«</w:t>
      </w:r>
      <w:r w:rsidRPr="00FF5531">
        <w:rPr>
          <w:b/>
          <w:bCs/>
          <w:lang w:val="kk-KZ"/>
        </w:rPr>
        <w:t>Италияның қаржылық қызметтер туралы Заңы</w:t>
      </w:r>
      <w:r>
        <w:rPr>
          <w:lang w:val="kk-KZ"/>
        </w:rPr>
        <w:t>»</w:t>
      </w:r>
      <w:r w:rsidRPr="003D0AAA">
        <w:rPr>
          <w:lang w:val="kk-KZ"/>
        </w:rPr>
        <w:t>)</w:t>
      </w:r>
      <w:r>
        <w:rPr>
          <w:lang w:val="kk-KZ"/>
        </w:rPr>
        <w:t xml:space="preserve"> </w:t>
      </w:r>
      <w:r w:rsidRPr="003D0AAA">
        <w:rPr>
          <w:lang w:val="kk-KZ"/>
        </w:rPr>
        <w:t>101-bis бабына</w:t>
      </w:r>
      <w:r>
        <w:rPr>
          <w:lang w:val="kk-KZ"/>
        </w:rPr>
        <w:t xml:space="preserve">, </w:t>
      </w:r>
      <w:r w:rsidRPr="003D0AAA">
        <w:rPr>
          <w:lang w:val="kk-KZ"/>
        </w:rPr>
        <w:t>3-bis тармағына сәйкес,</w:t>
      </w:r>
      <w:r>
        <w:rPr>
          <w:lang w:val="kk-KZ"/>
        </w:rPr>
        <w:t xml:space="preserve"> </w:t>
      </w:r>
      <w:r w:rsidRPr="003D0AAA">
        <w:rPr>
          <w:lang w:val="kk-KZ"/>
        </w:rPr>
        <w:t xml:space="preserve">және 1999 жылғы 14 мамырдағы оған енгізілген түзетулермен № 11971 CONSOB </w:t>
      </w:r>
      <w:r>
        <w:rPr>
          <w:lang w:val="kk-KZ"/>
        </w:rPr>
        <w:t xml:space="preserve">Регламентінің </w:t>
      </w:r>
      <w:r w:rsidRPr="003D0AAA">
        <w:rPr>
          <w:lang w:val="kk-KZ"/>
        </w:rPr>
        <w:t>35-bis бабына, 4-тармағы</w:t>
      </w:r>
      <w:r>
        <w:rPr>
          <w:lang w:val="kk-KZ"/>
        </w:rPr>
        <w:t xml:space="preserve">на </w:t>
      </w:r>
      <w:r w:rsidRPr="003D0AAA">
        <w:rPr>
          <w:lang w:val="kk-KZ"/>
        </w:rPr>
        <w:t>сәйкес</w:t>
      </w:r>
      <w:r>
        <w:rPr>
          <w:lang w:val="kk-KZ"/>
        </w:rPr>
        <w:t xml:space="preserve">, </w:t>
      </w:r>
      <w:r w:rsidRPr="003D0AAA">
        <w:rPr>
          <w:lang w:val="kk-KZ"/>
        </w:rPr>
        <w:t>Италияда тіркеуден босатылған бағалы қағаздар ұсынысы ретінде</w:t>
      </w:r>
      <w:r>
        <w:rPr>
          <w:lang w:val="kk-KZ"/>
        </w:rPr>
        <w:t xml:space="preserve"> </w:t>
      </w:r>
      <w:r w:rsidRPr="003D0AAA">
        <w:rPr>
          <w:lang w:val="kk-KZ"/>
        </w:rPr>
        <w:t>беріледі</w:t>
      </w:r>
      <w:r>
        <w:rPr>
          <w:lang w:val="kk-KZ"/>
        </w:rPr>
        <w:t xml:space="preserve">. </w:t>
      </w:r>
    </w:p>
    <w:p w:rsidR="00212160" w:rsidP="00212160" w:rsidRDefault="00212160" w14:paraId="78A524DD" w14:textId="77777777">
      <w:pPr>
        <w:pStyle w:val="wText"/>
        <w:spacing w:before="120" w:after="120"/>
        <w:rPr>
          <w:lang w:val="kk-KZ"/>
        </w:rPr>
      </w:pPr>
      <w:r w:rsidRPr="00A04EDC">
        <w:rPr>
          <w:lang w:val="kk-KZ"/>
        </w:rPr>
        <w:t xml:space="preserve">Италияда резидент болып табылатын және (немесе) </w:t>
      </w:r>
      <w:r>
        <w:rPr>
          <w:lang w:val="kk-KZ"/>
        </w:rPr>
        <w:t>орналасқан</w:t>
      </w:r>
      <w:r w:rsidRPr="00A04EDC">
        <w:rPr>
          <w:lang w:val="kk-KZ"/>
        </w:rPr>
        <w:t xml:space="preserve"> </w:t>
      </w:r>
      <w:r>
        <w:rPr>
          <w:lang w:val="kk-KZ"/>
        </w:rPr>
        <w:t>О</w:t>
      </w:r>
      <w:r w:rsidRPr="00A04EDC">
        <w:rPr>
          <w:lang w:val="kk-KZ"/>
        </w:rPr>
        <w:t xml:space="preserve">блигацияларды </w:t>
      </w:r>
      <w:r>
        <w:rPr>
          <w:lang w:val="kk-KZ"/>
        </w:rPr>
        <w:t>Ұ</w:t>
      </w:r>
      <w:r w:rsidRPr="00A04EDC">
        <w:rPr>
          <w:lang w:val="kk-KZ"/>
        </w:rPr>
        <w:t xml:space="preserve">стаушылар немесе түпкілікті иеленушілер Тендерлік ұсыныс шеңберінде </w:t>
      </w:r>
      <w:r>
        <w:rPr>
          <w:lang w:val="kk-KZ"/>
        </w:rPr>
        <w:t>О</w:t>
      </w:r>
      <w:r w:rsidRPr="00A04EDC">
        <w:rPr>
          <w:lang w:val="kk-KZ"/>
        </w:rPr>
        <w:t xml:space="preserve">блигацияларды уәкілетті тұлғалар (мысалы, </w:t>
      </w:r>
      <w:r>
        <w:rPr>
          <w:lang w:val="kk-KZ"/>
        </w:rPr>
        <w:t>«</w:t>
      </w:r>
      <w:r w:rsidRPr="00A04EDC">
        <w:rPr>
          <w:lang w:val="kk-KZ"/>
        </w:rPr>
        <w:t>Италияның қаржылық қызметтер туралы Заңына</w:t>
      </w:r>
      <w:r>
        <w:rPr>
          <w:lang w:val="kk-KZ"/>
        </w:rPr>
        <w:t>»</w:t>
      </w:r>
      <w:r w:rsidRPr="00A04EDC">
        <w:rPr>
          <w:lang w:val="kk-KZ"/>
        </w:rPr>
        <w:t>, 2018 жылғы 15 ақпандағы № 20307 оған енгізілген түзетулермен</w:t>
      </w:r>
      <w:r>
        <w:rPr>
          <w:lang w:val="kk-KZ"/>
        </w:rPr>
        <w:t xml:space="preserve"> </w:t>
      </w:r>
      <w:r w:rsidRPr="00A04EDC">
        <w:rPr>
          <w:lang w:val="kk-KZ"/>
        </w:rPr>
        <w:t xml:space="preserve">CONSOB </w:t>
      </w:r>
      <w:r>
        <w:rPr>
          <w:lang w:val="kk-KZ"/>
        </w:rPr>
        <w:t>Регламентіне</w:t>
      </w:r>
      <w:r w:rsidRPr="00A04EDC">
        <w:rPr>
          <w:lang w:val="kk-KZ"/>
        </w:rPr>
        <w:t xml:space="preserve"> және 1993 жылғы 1 қыркүйектегі № 385</w:t>
      </w:r>
      <w:r w:rsidRPr="004F496A">
        <w:rPr>
          <w:lang w:val="kk-KZ"/>
        </w:rPr>
        <w:t xml:space="preserve"> </w:t>
      </w:r>
      <w:r w:rsidRPr="00A04EDC">
        <w:rPr>
          <w:lang w:val="kk-KZ"/>
        </w:rPr>
        <w:t xml:space="preserve">өзгертулер мен толықтырулармен </w:t>
      </w:r>
      <w:r>
        <w:rPr>
          <w:lang w:val="kk-KZ"/>
        </w:rPr>
        <w:t>И</w:t>
      </w:r>
      <w:r w:rsidRPr="00A04EDC">
        <w:rPr>
          <w:lang w:val="kk-KZ"/>
        </w:rPr>
        <w:t xml:space="preserve">тальяндық заңнамалық жарлықпен </w:t>
      </w:r>
      <w:r w:rsidRPr="00A04EDC">
        <w:rPr>
          <w:lang w:val="kk-KZ"/>
        </w:rPr>
        <w:lastRenderedPageBreak/>
        <w:t>сәйкес Италия Республикасында осындай қызметті жүзеге асыруға рұқсат етілген инвестициялық фирмалар, банктер немесе қаржы делдалдары)</w:t>
      </w:r>
      <w:r>
        <w:rPr>
          <w:lang w:val="kk-KZ"/>
        </w:rPr>
        <w:t xml:space="preserve">, </w:t>
      </w:r>
      <w:r w:rsidRPr="00A04EDC">
        <w:rPr>
          <w:lang w:val="kk-KZ"/>
        </w:rPr>
        <w:t xml:space="preserve">сондай-ақ кез келген басқа қолданыстағы заңнамалық және нормативтік актілерге сәйкес және CONSOB </w:t>
      </w:r>
      <w:r>
        <w:rPr>
          <w:lang w:val="kk-KZ"/>
        </w:rPr>
        <w:t xml:space="preserve">және </w:t>
      </w:r>
      <w:r w:rsidRPr="00A04EDC">
        <w:rPr>
          <w:lang w:val="kk-KZ"/>
        </w:rPr>
        <w:t>Италияның</w:t>
      </w:r>
      <w:r w:rsidRPr="007246F5">
        <w:rPr>
          <w:lang w:val="kk-KZ"/>
        </w:rPr>
        <w:t xml:space="preserve"> </w:t>
      </w:r>
      <w:r w:rsidRPr="00A04EDC">
        <w:rPr>
          <w:lang w:val="kk-KZ"/>
        </w:rPr>
        <w:t>кез келген басқа басқару органы белгілеген талаптарға сәйкес</w:t>
      </w:r>
      <w:r>
        <w:rPr>
          <w:lang w:val="kk-KZ"/>
        </w:rPr>
        <w:t xml:space="preserve">, </w:t>
      </w:r>
      <w:r w:rsidRPr="00A04EDC">
        <w:rPr>
          <w:lang w:val="kk-KZ"/>
        </w:rPr>
        <w:t>арқылы ұсынуға құқылы</w:t>
      </w:r>
      <w:r>
        <w:rPr>
          <w:lang w:val="kk-KZ"/>
        </w:rPr>
        <w:t xml:space="preserve">. </w:t>
      </w:r>
      <w:r w:rsidRPr="00A04EDC">
        <w:rPr>
          <w:lang w:val="kk-KZ"/>
        </w:rPr>
        <w:t xml:space="preserve">Әрбір делдал </w:t>
      </w:r>
      <w:r>
        <w:rPr>
          <w:lang w:val="kk-KZ"/>
        </w:rPr>
        <w:t>О</w:t>
      </w:r>
      <w:r w:rsidRPr="00A04EDC">
        <w:rPr>
          <w:lang w:val="kk-KZ"/>
        </w:rPr>
        <w:t xml:space="preserve">блигацияларға немесе </w:t>
      </w:r>
      <w:r>
        <w:rPr>
          <w:lang w:val="kk-KZ"/>
        </w:rPr>
        <w:t>Т</w:t>
      </w:r>
      <w:r w:rsidRPr="00A04EDC">
        <w:rPr>
          <w:lang w:val="kk-KZ"/>
        </w:rPr>
        <w:t xml:space="preserve">ендерлік ұсынысқа, осы </w:t>
      </w:r>
      <w:r>
        <w:rPr>
          <w:lang w:val="kk-KZ"/>
        </w:rPr>
        <w:t>хабарламаға</w:t>
      </w:r>
      <w:r w:rsidRPr="00A04EDC">
        <w:rPr>
          <w:lang w:val="kk-KZ"/>
        </w:rPr>
        <w:t xml:space="preserve"> немесе </w:t>
      </w:r>
      <w:r>
        <w:rPr>
          <w:lang w:val="kk-KZ"/>
        </w:rPr>
        <w:t>С</w:t>
      </w:r>
      <w:r w:rsidRPr="00A04EDC">
        <w:rPr>
          <w:lang w:val="kk-KZ"/>
        </w:rPr>
        <w:t>атып алу ұсыныс</w:t>
      </w:r>
      <w:r>
        <w:rPr>
          <w:lang w:val="kk-KZ"/>
        </w:rPr>
        <w:t>ына</w:t>
      </w:r>
      <w:r w:rsidRPr="00A04EDC">
        <w:rPr>
          <w:lang w:val="kk-KZ"/>
        </w:rPr>
        <w:t xml:space="preserve"> байланысты өз клиенттерін хабардар ету жөніндегі міндеттерге қатысты қолданыстағы заңнамалық және нормативтік актілерді сақтауға тиіс.</w:t>
      </w:r>
    </w:p>
    <w:p w:rsidRPr="00A80F16" w:rsidR="00212160" w:rsidP="00212160" w:rsidRDefault="00212160" w14:paraId="68415BD4" w14:textId="77777777">
      <w:pPr>
        <w:pStyle w:val="wText"/>
        <w:spacing w:before="120" w:after="120"/>
        <w:rPr>
          <w:rFonts w:eastAsiaTheme="minorEastAsia"/>
          <w:b/>
          <w:color w:val="000000" w:themeColor="text2"/>
          <w:lang w:val="kk-KZ" w:eastAsia="zh-CN"/>
        </w:rPr>
      </w:pPr>
      <w:r w:rsidRPr="00A80F16">
        <w:rPr>
          <w:rFonts w:eastAsiaTheme="minorEastAsia"/>
          <w:b/>
          <w:color w:val="000000" w:themeColor="text2"/>
          <w:lang w:val="kk-KZ" w:eastAsia="zh-CN"/>
        </w:rPr>
        <w:t>Франция</w:t>
      </w:r>
    </w:p>
    <w:p w:rsidR="00212160" w:rsidP="00212160" w:rsidRDefault="00212160" w14:paraId="2E6CAFF4" w14:textId="7AF40B87">
      <w:pPr>
        <w:pStyle w:val="wText"/>
        <w:spacing w:before="120" w:after="120"/>
        <w:rPr>
          <w:lang w:val="kk-KZ"/>
        </w:rPr>
      </w:pPr>
      <w:r w:rsidRPr="00CD5634">
        <w:rPr>
          <w:lang w:val="kk-KZ"/>
        </w:rPr>
        <w:t xml:space="preserve">Тендерлік ұсыныс тікелей де, жанама да Франция Республикасындағы көптеген адамдарға жіберілмейді. Осы </w:t>
      </w:r>
      <w:r>
        <w:rPr>
          <w:lang w:val="kk-KZ"/>
        </w:rPr>
        <w:t>хабарлама</w:t>
      </w:r>
      <w:r w:rsidRPr="00CD5634">
        <w:rPr>
          <w:lang w:val="kk-KZ"/>
        </w:rPr>
        <w:t xml:space="preserve"> да, </w:t>
      </w:r>
      <w:r>
        <w:rPr>
          <w:lang w:val="kk-KZ"/>
        </w:rPr>
        <w:t>С</w:t>
      </w:r>
      <w:r w:rsidRPr="00CD5634">
        <w:rPr>
          <w:lang w:val="kk-KZ"/>
        </w:rPr>
        <w:t>атып алу ұсыныс</w:t>
      </w:r>
      <w:r>
        <w:rPr>
          <w:lang w:val="kk-KZ"/>
        </w:rPr>
        <w:t>ы</w:t>
      </w:r>
      <w:r w:rsidRPr="00CD5634">
        <w:rPr>
          <w:lang w:val="kk-KZ"/>
        </w:rPr>
        <w:t xml:space="preserve"> </w:t>
      </w:r>
      <w:r>
        <w:rPr>
          <w:lang w:val="kk-KZ"/>
        </w:rPr>
        <w:t>д</w:t>
      </w:r>
      <w:r w:rsidRPr="00CD5634">
        <w:rPr>
          <w:lang w:val="kk-KZ"/>
        </w:rPr>
        <w:t xml:space="preserve">а, </w:t>
      </w:r>
      <w:r>
        <w:rPr>
          <w:lang w:val="kk-KZ"/>
        </w:rPr>
        <w:t>Т</w:t>
      </w:r>
      <w:r w:rsidRPr="00CD5634">
        <w:rPr>
          <w:lang w:val="kk-KZ"/>
        </w:rPr>
        <w:t xml:space="preserve">ендерлік ұсыныстарға қатысты кез келген басқа құжаттама немесе материалдар да Франция Республикасында жұртшылық арасында таралмаған және таратылмайтын болады, бұл ретте </w:t>
      </w:r>
      <w:r>
        <w:rPr>
          <w:lang w:val="kk-KZ"/>
        </w:rPr>
        <w:t>Т</w:t>
      </w:r>
      <w:r w:rsidRPr="00CD5634">
        <w:rPr>
          <w:lang w:val="kk-KZ"/>
        </w:rPr>
        <w:t xml:space="preserve">ендерлік ұсынысқа тек </w:t>
      </w:r>
      <w:r>
        <w:rPr>
          <w:lang w:val="kk-KZ"/>
        </w:rPr>
        <w:t>Б</w:t>
      </w:r>
      <w:r w:rsidRPr="0044493F">
        <w:rPr>
          <w:lang w:val="kk-KZ"/>
        </w:rPr>
        <w:t xml:space="preserve">ағалы қағаздар </w:t>
      </w:r>
      <w:r w:rsidRPr="0044493F" w:rsidR="00417E4A">
        <w:rPr>
          <w:lang w:val="kk-KZ"/>
        </w:rPr>
        <w:t>проспектісі</w:t>
      </w:r>
      <w:r w:rsidRPr="0044493F">
        <w:rPr>
          <w:lang w:val="kk-KZ"/>
        </w:rPr>
        <w:t xml:space="preserve"> туралы Ереженің 2(e) бабында осы ұғымның анықтамасына</w:t>
      </w:r>
      <w:r>
        <w:rPr>
          <w:lang w:val="kk-KZ"/>
        </w:rPr>
        <w:t xml:space="preserve"> сәйкес келетін, </w:t>
      </w:r>
      <w:r w:rsidRPr="00CD5634">
        <w:rPr>
          <w:lang w:val="kk-KZ"/>
        </w:rPr>
        <w:t>білікті инвесторлар</w:t>
      </w:r>
      <w:r>
        <w:rPr>
          <w:lang w:val="kk-KZ"/>
        </w:rPr>
        <w:t xml:space="preserve"> </w:t>
      </w:r>
      <w:r w:rsidRPr="003D034C">
        <w:rPr>
          <w:lang w:val="kk-KZ"/>
        </w:rPr>
        <w:t>(</w:t>
      </w:r>
      <w:r w:rsidRPr="003D034C">
        <w:rPr>
          <w:i/>
          <w:lang w:val="kk-KZ"/>
        </w:rPr>
        <w:t>investisseurs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qualifiés</w:t>
      </w:r>
      <w:r w:rsidRPr="003D034C">
        <w:rPr>
          <w:lang w:val="kk-KZ"/>
        </w:rPr>
        <w:t>)</w:t>
      </w:r>
      <w:r>
        <w:rPr>
          <w:lang w:val="kk-KZ"/>
        </w:rPr>
        <w:t xml:space="preserve"> </w:t>
      </w:r>
      <w:r w:rsidRPr="00CD5634">
        <w:rPr>
          <w:lang w:val="kk-KZ"/>
        </w:rPr>
        <w:t>қатысуға құқылы</w:t>
      </w:r>
      <w:r w:rsidRPr="0044493F">
        <w:rPr>
          <w:lang w:val="kk-KZ"/>
        </w:rPr>
        <w:t>.</w:t>
      </w:r>
      <w:r>
        <w:rPr>
          <w:lang w:val="kk-KZ"/>
        </w:rPr>
        <w:t xml:space="preserve"> </w:t>
      </w:r>
      <w:r w:rsidRPr="00CD5634">
        <w:rPr>
          <w:lang w:val="kk-KZ"/>
        </w:rPr>
        <w:t xml:space="preserve">Осы </w:t>
      </w:r>
      <w:r>
        <w:rPr>
          <w:lang w:val="kk-KZ"/>
        </w:rPr>
        <w:t>хабарлама</w:t>
      </w:r>
      <w:r w:rsidRPr="00CD5634">
        <w:rPr>
          <w:lang w:val="kk-KZ"/>
        </w:rPr>
        <w:t xml:space="preserve"> мен </w:t>
      </w:r>
      <w:r>
        <w:rPr>
          <w:lang w:val="kk-KZ"/>
        </w:rPr>
        <w:t>С</w:t>
      </w:r>
      <w:r w:rsidRPr="00CD5634">
        <w:rPr>
          <w:lang w:val="kk-KZ"/>
        </w:rPr>
        <w:t>атып алу ұсыны</w:t>
      </w:r>
      <w:r>
        <w:rPr>
          <w:lang w:val="kk-KZ"/>
        </w:rPr>
        <w:t>сы</w:t>
      </w:r>
      <w:r w:rsidRPr="00CD5634">
        <w:rPr>
          <w:lang w:val="kk-KZ"/>
        </w:rPr>
        <w:t xml:space="preserve"> </w:t>
      </w:r>
      <w:r>
        <w:rPr>
          <w:lang w:val="kk-KZ"/>
        </w:rPr>
        <w:t>Қ</w:t>
      </w:r>
      <w:r w:rsidRPr="00CD5634">
        <w:rPr>
          <w:lang w:val="kk-KZ"/>
        </w:rPr>
        <w:t>аржы нарықтары жөніндегі басқармаға (</w:t>
      </w:r>
      <w:r w:rsidRPr="003D034C">
        <w:rPr>
          <w:i/>
          <w:lang w:val="kk-KZ"/>
        </w:rPr>
        <w:t>Autorité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des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marchés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financiers</w:t>
      </w:r>
      <w:r w:rsidRPr="00CD5634">
        <w:rPr>
          <w:lang w:val="kk-KZ"/>
        </w:rPr>
        <w:t>) ресімдеуге (</w:t>
      </w:r>
      <w:r w:rsidRPr="00D30C1F">
        <w:rPr>
          <w:i/>
          <w:iCs/>
          <w:lang w:val="kk-KZ"/>
        </w:rPr>
        <w:t>бекіту туралы қарар алу үшін</w:t>
      </w:r>
      <w:r w:rsidRPr="00CD5634">
        <w:rPr>
          <w:lang w:val="kk-KZ"/>
        </w:rPr>
        <w:t>) ұсынылмады және ұсынылмайды.</w:t>
      </w:r>
    </w:p>
    <w:p w:rsidRPr="00A80F16" w:rsidR="00212160" w:rsidP="00212160" w:rsidRDefault="00212160" w14:paraId="6E42829F" w14:textId="77777777">
      <w:pPr>
        <w:pStyle w:val="wText"/>
        <w:spacing w:before="120" w:after="120"/>
        <w:rPr>
          <w:rFonts w:eastAsiaTheme="minorEastAsia"/>
          <w:b/>
          <w:color w:val="000000" w:themeColor="text2"/>
          <w:lang w:val="kk-KZ" w:eastAsia="zh-CN"/>
        </w:rPr>
      </w:pPr>
      <w:r w:rsidRPr="00A80F16">
        <w:rPr>
          <w:rFonts w:eastAsiaTheme="minorEastAsia"/>
          <w:b/>
          <w:color w:val="000000" w:themeColor="text2"/>
          <w:lang w:val="kk-KZ" w:eastAsia="zh-CN"/>
        </w:rPr>
        <w:t>Бельгия</w:t>
      </w:r>
    </w:p>
    <w:p w:rsidRPr="00700AFA" w:rsidR="00F03965" w:rsidP="00700AFA" w:rsidRDefault="00212160" w14:paraId="03BB53CD" w14:textId="45EE0E69">
      <w:pPr>
        <w:widowControl w:val="0"/>
        <w:spacing w:before="120" w:after="120"/>
        <w:jc w:val="both"/>
        <w:textAlignment w:val="baseline"/>
        <w:rPr>
          <w:lang w:val="kk-KZ"/>
        </w:rPr>
      </w:pPr>
      <w:r w:rsidRPr="00E14885">
        <w:rPr>
          <w:lang w:val="kk-KZ"/>
        </w:rPr>
        <w:t xml:space="preserve">Осы </w:t>
      </w:r>
      <w:r>
        <w:rPr>
          <w:lang w:val="kk-KZ"/>
        </w:rPr>
        <w:t>хабарлама</w:t>
      </w:r>
      <w:r w:rsidRPr="00E14885">
        <w:rPr>
          <w:lang w:val="kk-KZ"/>
        </w:rPr>
        <w:t xml:space="preserve"> да, </w:t>
      </w:r>
      <w:r>
        <w:rPr>
          <w:lang w:val="kk-KZ"/>
        </w:rPr>
        <w:t>С</w:t>
      </w:r>
      <w:r w:rsidRPr="00E14885">
        <w:rPr>
          <w:lang w:val="kk-KZ"/>
        </w:rPr>
        <w:t>атып алу ұсыныс</w:t>
      </w:r>
      <w:r>
        <w:rPr>
          <w:lang w:val="kk-KZ"/>
        </w:rPr>
        <w:t>ы</w:t>
      </w:r>
      <w:r w:rsidRPr="00E14885">
        <w:rPr>
          <w:lang w:val="kk-KZ"/>
        </w:rPr>
        <w:t xml:space="preserve"> </w:t>
      </w:r>
      <w:r>
        <w:rPr>
          <w:lang w:val="kk-KZ"/>
        </w:rPr>
        <w:t>д</w:t>
      </w:r>
      <w:r w:rsidRPr="00E14885">
        <w:rPr>
          <w:lang w:val="kk-KZ"/>
        </w:rPr>
        <w:t xml:space="preserve">а, </w:t>
      </w:r>
      <w:r>
        <w:rPr>
          <w:lang w:val="kk-KZ"/>
        </w:rPr>
        <w:t>Т</w:t>
      </w:r>
      <w:r w:rsidRPr="00E14885">
        <w:rPr>
          <w:lang w:val="kk-KZ"/>
        </w:rPr>
        <w:t xml:space="preserve">ендерлік ұсыныстарға қатысты кез келген басқа құжаттама немесе материалдар да </w:t>
      </w:r>
      <w:r>
        <w:rPr>
          <w:lang w:val="kk-KZ"/>
        </w:rPr>
        <w:t>Қ</w:t>
      </w:r>
      <w:r w:rsidRPr="00E14885">
        <w:rPr>
          <w:lang w:val="kk-KZ"/>
        </w:rPr>
        <w:t>аржылық қызметтер мен нарықтар қызметіне (</w:t>
      </w:r>
      <w:r w:rsidRPr="003D034C">
        <w:rPr>
          <w:i/>
          <w:lang w:val="kk-KZ"/>
        </w:rPr>
        <w:t>Autorité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des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services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et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marchés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financiers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/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Autoriteit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voor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financiële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diensten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en</w:t>
      </w:r>
      <w:r w:rsidRPr="003D034C">
        <w:rPr>
          <w:lang w:val="kk-KZ"/>
        </w:rPr>
        <w:t xml:space="preserve"> </w:t>
      </w:r>
      <w:r w:rsidRPr="003D034C">
        <w:rPr>
          <w:i/>
          <w:lang w:val="kk-KZ"/>
        </w:rPr>
        <w:t>markten</w:t>
      </w:r>
      <w:r w:rsidRPr="00E14885">
        <w:rPr>
          <w:lang w:val="kk-KZ"/>
        </w:rPr>
        <w:t xml:space="preserve">) </w:t>
      </w:r>
      <w:r w:rsidRPr="008323A8">
        <w:rPr>
          <w:lang w:val="kk-KZ"/>
        </w:rPr>
        <w:t>бекіту</w:t>
      </w:r>
      <w:r>
        <w:rPr>
          <w:lang w:val="kk-KZ"/>
        </w:rPr>
        <w:t>ге</w:t>
      </w:r>
      <w:r w:rsidRPr="008323A8">
        <w:rPr>
          <w:lang w:val="kk-KZ"/>
        </w:rPr>
        <w:t xml:space="preserve"> немесе кейінгі растау</w:t>
      </w:r>
      <w:r>
        <w:rPr>
          <w:lang w:val="kk-KZ"/>
        </w:rPr>
        <w:t>ға</w:t>
      </w:r>
      <w:r w:rsidRPr="008323A8">
        <w:rPr>
          <w:lang w:val="kk-KZ"/>
        </w:rPr>
        <w:t xml:space="preserve"> </w:t>
      </w:r>
      <w:r w:rsidRPr="00E14885">
        <w:rPr>
          <w:lang w:val="kk-KZ"/>
        </w:rPr>
        <w:t>ұсынылмаған және ұсынылмайды</w:t>
      </w:r>
      <w:r>
        <w:rPr>
          <w:lang w:val="kk-KZ"/>
        </w:rPr>
        <w:t xml:space="preserve"> және </w:t>
      </w:r>
      <w:r w:rsidRPr="008323A8">
        <w:rPr>
          <w:lang w:val="kk-KZ"/>
        </w:rPr>
        <w:t>тиісінше, Бельгияда тендерлік ұсынысты 2007 жылғы 1 сәуірдегі Бельгия Заңының 3 және 6-баптарында анықталғандай, оларға мезгіл-мезгіл енгізілетін түзетулерге сәйкес ашық сауда-саттықта левереджге негізделген сатып алуларға қатысты ұсыныстар бойынша жария ұсыныс арқылы беруге болмайды.</w:t>
      </w:r>
      <w:r>
        <w:rPr>
          <w:lang w:val="kk-KZ"/>
        </w:rPr>
        <w:t xml:space="preserve"> </w:t>
      </w:r>
      <w:r w:rsidRPr="0035038B">
        <w:rPr>
          <w:lang w:val="kk-KZ"/>
        </w:rPr>
        <w:t xml:space="preserve">Тиісінше, </w:t>
      </w:r>
      <w:r>
        <w:rPr>
          <w:lang w:val="kk-KZ"/>
        </w:rPr>
        <w:t>Т</w:t>
      </w:r>
      <w:r w:rsidRPr="0035038B">
        <w:rPr>
          <w:lang w:val="kk-KZ"/>
        </w:rPr>
        <w:t xml:space="preserve">ендерлік ұсынысты жарнамалауға және таратуға болмайды, және осы </w:t>
      </w:r>
      <w:r>
        <w:rPr>
          <w:lang w:val="kk-KZ"/>
        </w:rPr>
        <w:t>хабарлама</w:t>
      </w:r>
      <w:r w:rsidRPr="0035038B">
        <w:rPr>
          <w:lang w:val="kk-KZ"/>
        </w:rPr>
        <w:t xml:space="preserve"> да, Тендерлік ұсыныс та, </w:t>
      </w:r>
      <w:r>
        <w:rPr>
          <w:lang w:val="kk-KZ"/>
        </w:rPr>
        <w:t>С</w:t>
      </w:r>
      <w:r w:rsidRPr="0035038B">
        <w:rPr>
          <w:lang w:val="kk-KZ"/>
        </w:rPr>
        <w:t>атып алу ұсыныс</w:t>
      </w:r>
      <w:r>
        <w:rPr>
          <w:lang w:val="kk-KZ"/>
        </w:rPr>
        <w:t>ы</w:t>
      </w:r>
      <w:r w:rsidRPr="0035038B">
        <w:rPr>
          <w:lang w:val="kk-KZ"/>
        </w:rPr>
        <w:t xml:space="preserve"> </w:t>
      </w:r>
      <w:r>
        <w:rPr>
          <w:lang w:val="kk-KZ"/>
        </w:rPr>
        <w:t>д</w:t>
      </w:r>
      <w:r w:rsidRPr="0035038B">
        <w:rPr>
          <w:lang w:val="kk-KZ"/>
        </w:rPr>
        <w:t xml:space="preserve">а, </w:t>
      </w:r>
      <w:r>
        <w:rPr>
          <w:lang w:val="kk-KZ"/>
        </w:rPr>
        <w:t>Т</w:t>
      </w:r>
      <w:r w:rsidRPr="0035038B">
        <w:rPr>
          <w:lang w:val="kk-KZ"/>
        </w:rPr>
        <w:t xml:space="preserve">ендерлік ұсыныстарға қатысты кез келген басқа құжаттама немесе материалдар </w:t>
      </w:r>
      <w:r w:rsidRPr="00193FD0">
        <w:rPr>
          <w:lang w:val="kk-KZ"/>
        </w:rPr>
        <w:t xml:space="preserve">2006 жылғы 16 маусымдағы осы </w:t>
      </w:r>
      <w:r>
        <w:rPr>
          <w:lang w:val="kk-KZ"/>
        </w:rPr>
        <w:t>Б</w:t>
      </w:r>
      <w:r w:rsidRPr="00193FD0">
        <w:rPr>
          <w:lang w:val="kk-KZ"/>
        </w:rPr>
        <w:t>ельгиялық Заңның 10-бабы терминдеріндегі</w:t>
      </w:r>
      <w:r>
        <w:rPr>
          <w:lang w:val="kk-KZ"/>
        </w:rPr>
        <w:t xml:space="preserve"> «Б</w:t>
      </w:r>
      <w:r w:rsidRPr="00193FD0">
        <w:rPr>
          <w:lang w:val="kk-KZ"/>
        </w:rPr>
        <w:t>ілікті инвесторларды</w:t>
      </w:r>
      <w:r>
        <w:rPr>
          <w:lang w:val="kk-KZ"/>
        </w:rPr>
        <w:t>»</w:t>
      </w:r>
      <w:r w:rsidRPr="00193FD0">
        <w:rPr>
          <w:lang w:val="kk-KZ"/>
        </w:rPr>
        <w:t xml:space="preserve"> қоспағанда, орналастыру құралдарын жария түрде ұсыну және өз атынан әрекет ететін реттелетін нарықтарда орналастыру құралдарын сауда-саттыққа жіберу туралы</w:t>
      </w:r>
      <w:r>
        <w:rPr>
          <w:lang w:val="kk-KZ"/>
        </w:rPr>
        <w:t xml:space="preserve"> </w:t>
      </w:r>
      <w:r w:rsidRPr="0035038B">
        <w:rPr>
          <w:lang w:val="kk-KZ"/>
        </w:rPr>
        <w:t>Бельгиядағы кез келген адамның иелігіне тікелей немесе жанама түрде жіберілмеген немесе берілмейд</w:t>
      </w:r>
      <w:r>
        <w:rPr>
          <w:lang w:val="kk-KZ"/>
        </w:rPr>
        <w:t xml:space="preserve">і. </w:t>
      </w:r>
      <w:r w:rsidRPr="000D48A8">
        <w:rPr>
          <w:lang w:val="kk-KZ"/>
        </w:rPr>
        <w:t xml:space="preserve">Осы </w:t>
      </w:r>
      <w:r>
        <w:rPr>
          <w:lang w:val="kk-KZ"/>
        </w:rPr>
        <w:t>хабарлама</w:t>
      </w:r>
      <w:r w:rsidRPr="000D48A8">
        <w:rPr>
          <w:lang w:val="kk-KZ"/>
        </w:rPr>
        <w:t xml:space="preserve"> мен </w:t>
      </w:r>
      <w:r>
        <w:rPr>
          <w:lang w:val="kk-KZ"/>
        </w:rPr>
        <w:t>С</w:t>
      </w:r>
      <w:r w:rsidRPr="000D48A8">
        <w:rPr>
          <w:lang w:val="kk-KZ"/>
        </w:rPr>
        <w:t>атып алу ұсыныс</w:t>
      </w:r>
      <w:r>
        <w:rPr>
          <w:lang w:val="kk-KZ"/>
        </w:rPr>
        <w:t>ы</w:t>
      </w:r>
      <w:r w:rsidRPr="000D48A8">
        <w:rPr>
          <w:lang w:val="kk-KZ"/>
        </w:rPr>
        <w:t xml:space="preserve"> тек жоғарыда аталған білікті инвесторлардың жеке пайдалануы үшін және тек </w:t>
      </w:r>
      <w:r>
        <w:rPr>
          <w:lang w:val="kk-KZ"/>
        </w:rPr>
        <w:t>Т</w:t>
      </w:r>
      <w:r w:rsidRPr="000D48A8">
        <w:rPr>
          <w:lang w:val="kk-KZ"/>
        </w:rPr>
        <w:t xml:space="preserve">ендерлік ұсынысты жүзеге асыру мақсатында шығарылды. Тиісінше, осы </w:t>
      </w:r>
      <w:r>
        <w:rPr>
          <w:lang w:val="kk-KZ"/>
        </w:rPr>
        <w:t>хабарламада</w:t>
      </w:r>
      <w:r w:rsidRPr="000D48A8">
        <w:rPr>
          <w:lang w:val="kk-KZ"/>
        </w:rPr>
        <w:t xml:space="preserve"> және </w:t>
      </w:r>
      <w:r>
        <w:rPr>
          <w:lang w:val="kk-KZ"/>
        </w:rPr>
        <w:t>С</w:t>
      </w:r>
      <w:r w:rsidRPr="000D48A8">
        <w:rPr>
          <w:lang w:val="kk-KZ"/>
        </w:rPr>
        <w:t>атып алу ұсыныс</w:t>
      </w:r>
      <w:r>
        <w:rPr>
          <w:lang w:val="kk-KZ"/>
        </w:rPr>
        <w:t>ында</w:t>
      </w:r>
      <w:r w:rsidRPr="000D48A8">
        <w:rPr>
          <w:lang w:val="kk-KZ"/>
        </w:rPr>
        <w:t xml:space="preserve"> қамтылған ақпаратты қандай да бір басқа мақсаттарда пайдалануға немесе Бельгиядағы кез келген басқа тұлғаға жария етуге болмайды</w:t>
      </w:r>
      <w:r>
        <w:rPr>
          <w:lang w:val="kk-KZ"/>
        </w:rPr>
        <w:t xml:space="preserve">. </w:t>
      </w:r>
    </w:p>
    <w:sectPr w:rsidRPr="00700AFA" w:rsidR="00F03965" w:rsidSect="00665A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5733" w:rsidRDefault="00EF5733" w14:paraId="17F966F4" w14:textId="77777777">
      <w:r>
        <w:separator/>
      </w:r>
    </w:p>
  </w:endnote>
  <w:endnote w:type="continuationSeparator" w:id="0">
    <w:p w:rsidR="00EF5733" w:rsidRDefault="00EF5733" w14:paraId="58F77D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1FF" w:rsidP="009F6D09" w:rsidRDefault="00237A4A" w14:paraId="17B35000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61FF" w:rsidP="009F6D09" w:rsidRDefault="00AA61FF" w14:paraId="5510D4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817829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:rsidRPr="008D648C" w:rsidR="00AA61FF" w:rsidRDefault="00237A4A" w14:paraId="710B68BB" w14:textId="77777777">
        <w:pPr>
          <w:pStyle w:val="Footer"/>
          <w:jc w:val="center"/>
          <w:rPr>
            <w:rFonts w:ascii="Times New Roman" w:hAnsi="Times New Roman"/>
            <w:sz w:val="22"/>
          </w:rPr>
        </w:pPr>
        <w:r w:rsidRPr="008D648C">
          <w:rPr>
            <w:rFonts w:ascii="Times New Roman" w:hAnsi="Times New Roman"/>
            <w:noProof w:val="0"/>
            <w:sz w:val="22"/>
          </w:rPr>
          <w:fldChar w:fldCharType="begin"/>
        </w:r>
        <w:r w:rsidRPr="008D648C">
          <w:rPr>
            <w:rFonts w:ascii="Times New Roman" w:hAnsi="Times New Roman"/>
            <w:sz w:val="22"/>
          </w:rPr>
          <w:instrText xml:space="preserve"> PAGE   \* MERGEFORMAT </w:instrText>
        </w:r>
        <w:r w:rsidRPr="008D648C">
          <w:rPr>
            <w:rFonts w:ascii="Times New Roman" w:hAnsi="Times New Roman"/>
            <w:noProof w:val="0"/>
            <w:sz w:val="22"/>
          </w:rPr>
          <w:fldChar w:fldCharType="separate"/>
        </w:r>
        <w:r w:rsidR="00C32558">
          <w:rPr>
            <w:rFonts w:ascii="Times New Roman" w:hAnsi="Times New Roman"/>
            <w:sz w:val="22"/>
          </w:rPr>
          <w:t>1</w:t>
        </w:r>
        <w:r w:rsidRPr="008D648C">
          <w:rPr>
            <w:rFonts w:ascii="Times New Roman" w:hAnsi="Times New Roman"/>
            <w:sz w:val="22"/>
          </w:rPr>
          <w:fldChar w:fldCharType="end"/>
        </w:r>
      </w:p>
    </w:sdtContent>
  </w:sdt>
  <w:p w:rsidR="00AA61FF" w:rsidRDefault="00AA61FF" w14:paraId="5DBDCB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7A554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5733" w:rsidRDefault="00EF5733" w14:paraId="0759F794" w14:textId="77777777">
      <w:r>
        <w:separator/>
      </w:r>
    </w:p>
  </w:footnote>
  <w:footnote w:type="continuationSeparator" w:id="0">
    <w:p w:rsidR="00EF5733" w:rsidRDefault="00EF5733" w14:paraId="1C45BD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12F6C8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C0D42" w:rsidR="00AA61FF" w:rsidP="00BB1677" w:rsidRDefault="00AA61FF" w14:paraId="3C9618C7" w14:textId="77777777">
    <w:pPr>
      <w:pStyle w:val="Header"/>
      <w:jc w:val="right"/>
      <w:rPr>
        <w:rFonts w:ascii="Arial" w:hAnsi="Arial" w:cs="Arial"/>
        <w:b/>
        <w:color w:val="5F5F5F" w:themeColor="text1"/>
        <w:sz w:val="16"/>
        <w:szCs w:val="16"/>
      </w:rPr>
    </w:pPr>
  </w:p>
  <w:p w:rsidR="00AA61FF" w:rsidRDefault="00AA61FF" w14:paraId="654171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05765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6E7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6720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C627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AFEE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F74F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918E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2572C8"/>
    <w:multiLevelType w:val="hybridMultilevel"/>
    <w:tmpl w:val="508EA9B4"/>
    <w:lvl w:ilvl="0" w:tplc="A64C219C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B88A03EC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83034A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0E8645A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3265E1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2A6BFB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A1609B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7456AC4A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D08297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096C1985"/>
    <w:multiLevelType w:val="multilevel"/>
    <w:tmpl w:val="D70EC034"/>
    <w:styleLink w:val="BMSchedules"/>
    <w:lvl w:ilvl="0">
      <w:start w:val="1"/>
      <w:numFmt w:val="none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DC71D4"/>
    <w:multiLevelType w:val="hybridMultilevel"/>
    <w:tmpl w:val="BBEE247C"/>
    <w:lvl w:ilvl="0" w:tplc="02409128">
      <w:start w:val="1"/>
      <w:numFmt w:val="lowerRoman"/>
      <w:lvlText w:val="(%1)"/>
      <w:lvlJc w:val="left"/>
      <w:pPr>
        <w:ind w:left="706" w:hanging="70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28D7"/>
    <w:multiLevelType w:val="hybridMultilevel"/>
    <w:tmpl w:val="F3B6362C"/>
    <w:lvl w:ilvl="0" w:tplc="8B22309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7312D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6B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47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80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EF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23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9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0A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17166"/>
    <w:multiLevelType w:val="multilevel"/>
    <w:tmpl w:val="0DE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5F5F5F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5F5F5F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5F5F5F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5F5F5F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5F5F5F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</w:abstractNum>
  <w:abstractNum w:abstractNumId="15" w15:restartNumberingAfterBreak="0">
    <w:nsid w:val="2B0768D5"/>
    <w:multiLevelType w:val="multilevel"/>
    <w:tmpl w:val="4D90F278"/>
    <w:lvl w:ilvl="0">
      <w:start w:val="1"/>
      <w:numFmt w:val="decimal"/>
      <w:pStyle w:val="Appendix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pStyle w:val="Appendi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pStyle w:val="Appendi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ppendi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Appendi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ppendi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ppendi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ppendi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ppendi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F1C7A27"/>
    <w:multiLevelType w:val="hybridMultilevel"/>
    <w:tmpl w:val="06924C16"/>
    <w:lvl w:ilvl="0" w:tplc="A94A0990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B603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26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60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65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A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4A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4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84B62EE"/>
    <w:multiLevelType w:val="hybridMultilevel"/>
    <w:tmpl w:val="410AAFB0"/>
    <w:lvl w:ilvl="0" w:tplc="801AD5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07240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A0E1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A7E1A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696C6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42B9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F6A9D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6396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2C060F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89D1BF3"/>
    <w:multiLevelType w:val="multilevel"/>
    <w:tmpl w:val="7B24B224"/>
    <w:numStyleLink w:val="BMHeadings"/>
  </w:abstractNum>
  <w:abstractNum w:abstractNumId="22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C3910"/>
    <w:multiLevelType w:val="multilevel"/>
    <w:tmpl w:val="7B24B224"/>
    <w:numStyleLink w:val="BMHeadings"/>
  </w:abstractNum>
  <w:abstractNum w:abstractNumId="30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3867F6"/>
    <w:multiLevelType w:val="hybridMultilevel"/>
    <w:tmpl w:val="1BCEEF14"/>
    <w:lvl w:ilvl="0" w:tplc="AA0292F4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1C10F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61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2D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CC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8D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98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3566E2B"/>
    <w:multiLevelType w:val="hybridMultilevel"/>
    <w:tmpl w:val="7F3461E4"/>
    <w:lvl w:ilvl="0" w:tplc="03A2A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C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3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A1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01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8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69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9140688">
    <w:abstractNumId w:val="32"/>
  </w:num>
  <w:num w:numId="2" w16cid:durableId="237517645">
    <w:abstractNumId w:val="16"/>
  </w:num>
  <w:num w:numId="3" w16cid:durableId="44523143">
    <w:abstractNumId w:val="17"/>
  </w:num>
  <w:num w:numId="4" w16cid:durableId="1827235279">
    <w:abstractNumId w:val="25"/>
  </w:num>
  <w:num w:numId="5" w16cid:durableId="579828097">
    <w:abstractNumId w:val="8"/>
  </w:num>
  <w:num w:numId="6" w16cid:durableId="1904564303">
    <w:abstractNumId w:val="30"/>
  </w:num>
  <w:num w:numId="7" w16cid:durableId="2017346022">
    <w:abstractNumId w:val="28"/>
  </w:num>
  <w:num w:numId="8" w16cid:durableId="2080865021">
    <w:abstractNumId w:val="27"/>
  </w:num>
  <w:num w:numId="9" w16cid:durableId="1558709452">
    <w:abstractNumId w:val="40"/>
  </w:num>
  <w:num w:numId="10" w16cid:durableId="378601577">
    <w:abstractNumId w:val="5"/>
  </w:num>
  <w:num w:numId="11" w16cid:durableId="253049297">
    <w:abstractNumId w:val="4"/>
  </w:num>
  <w:num w:numId="12" w16cid:durableId="513346092">
    <w:abstractNumId w:val="3"/>
  </w:num>
  <w:num w:numId="13" w16cid:durableId="1403872559">
    <w:abstractNumId w:val="2"/>
  </w:num>
  <w:num w:numId="14" w16cid:durableId="1349525221">
    <w:abstractNumId w:val="1"/>
  </w:num>
  <w:num w:numId="15" w16cid:durableId="1433479538">
    <w:abstractNumId w:val="0"/>
  </w:num>
  <w:num w:numId="16" w16cid:durableId="2118326329">
    <w:abstractNumId w:val="35"/>
  </w:num>
  <w:num w:numId="17" w16cid:durableId="1427072361">
    <w:abstractNumId w:val="11"/>
  </w:num>
  <w:num w:numId="18" w16cid:durableId="1887834724">
    <w:abstractNumId w:val="39"/>
  </w:num>
  <w:num w:numId="19" w16cid:durableId="333144494">
    <w:abstractNumId w:val="10"/>
  </w:num>
  <w:num w:numId="20" w16cid:durableId="1540628354">
    <w:abstractNumId w:val="31"/>
  </w:num>
  <w:num w:numId="21" w16cid:durableId="10954974">
    <w:abstractNumId w:val="23"/>
  </w:num>
  <w:num w:numId="22" w16cid:durableId="599878832">
    <w:abstractNumId w:val="38"/>
  </w:num>
  <w:num w:numId="23" w16cid:durableId="395200854">
    <w:abstractNumId w:val="24"/>
  </w:num>
  <w:num w:numId="24" w16cid:durableId="464347379">
    <w:abstractNumId w:val="21"/>
  </w:num>
  <w:num w:numId="25" w16cid:durableId="293874402">
    <w:abstractNumId w:val="21"/>
  </w:num>
  <w:num w:numId="26" w16cid:durableId="991251989">
    <w:abstractNumId w:val="21"/>
  </w:num>
  <w:num w:numId="27" w16cid:durableId="457380451">
    <w:abstractNumId w:val="21"/>
  </w:num>
  <w:num w:numId="28" w16cid:durableId="1191190364">
    <w:abstractNumId w:val="21"/>
  </w:num>
  <w:num w:numId="29" w16cid:durableId="986082019">
    <w:abstractNumId w:val="21"/>
  </w:num>
  <w:num w:numId="30" w16cid:durableId="2145539106">
    <w:abstractNumId w:val="13"/>
  </w:num>
  <w:num w:numId="31" w16cid:durableId="282200737">
    <w:abstractNumId w:val="33"/>
  </w:num>
  <w:num w:numId="32" w16cid:durableId="2098673300">
    <w:abstractNumId w:val="29"/>
  </w:num>
  <w:num w:numId="33" w16cid:durableId="1023094827">
    <w:abstractNumId w:val="9"/>
  </w:num>
  <w:num w:numId="34" w16cid:durableId="1830515805">
    <w:abstractNumId w:val="6"/>
  </w:num>
  <w:num w:numId="35" w16cid:durableId="1118913476">
    <w:abstractNumId w:val="36"/>
  </w:num>
  <w:num w:numId="36" w16cid:durableId="725488019">
    <w:abstractNumId w:val="34"/>
  </w:num>
  <w:num w:numId="37" w16cid:durableId="652639330">
    <w:abstractNumId w:val="18"/>
  </w:num>
  <w:num w:numId="38" w16cid:durableId="291979700">
    <w:abstractNumId w:val="26"/>
  </w:num>
  <w:num w:numId="39" w16cid:durableId="448553991">
    <w:abstractNumId w:val="22"/>
  </w:num>
  <w:num w:numId="40" w16cid:durableId="174416667">
    <w:abstractNumId w:val="15"/>
  </w:num>
  <w:num w:numId="41" w16cid:durableId="2054232840">
    <w:abstractNumId w:val="14"/>
  </w:num>
  <w:num w:numId="42" w16cid:durableId="1433477713">
    <w:abstractNumId w:val="37"/>
  </w:num>
  <w:num w:numId="43" w16cid:durableId="143202015">
    <w:abstractNumId w:val="7"/>
  </w:num>
  <w:num w:numId="44" w16cid:durableId="659386723">
    <w:abstractNumId w:val="19"/>
  </w:num>
  <w:num w:numId="45" w16cid:durableId="1259294117">
    <w:abstractNumId w:val="20"/>
  </w:num>
  <w:num w:numId="46" w16cid:durableId="31244279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0"/>
  <w:styleLockQFSet/>
  <w:defaultTabStop w:val="706"/>
  <w:drawingGridHorizontalSpacing w:val="16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C4"/>
    <w:rsid w:val="000000F3"/>
    <w:rsid w:val="000010D9"/>
    <w:rsid w:val="00001597"/>
    <w:rsid w:val="000019F7"/>
    <w:rsid w:val="00002665"/>
    <w:rsid w:val="00002AD3"/>
    <w:rsid w:val="00006CE8"/>
    <w:rsid w:val="000074F9"/>
    <w:rsid w:val="000120CA"/>
    <w:rsid w:val="0001216D"/>
    <w:rsid w:val="00012E3A"/>
    <w:rsid w:val="0001376F"/>
    <w:rsid w:val="00013E43"/>
    <w:rsid w:val="00014A14"/>
    <w:rsid w:val="000210F8"/>
    <w:rsid w:val="00024298"/>
    <w:rsid w:val="0002435A"/>
    <w:rsid w:val="0002485E"/>
    <w:rsid w:val="000336E0"/>
    <w:rsid w:val="00035D72"/>
    <w:rsid w:val="00041A98"/>
    <w:rsid w:val="00042288"/>
    <w:rsid w:val="0004768C"/>
    <w:rsid w:val="00047967"/>
    <w:rsid w:val="00050C72"/>
    <w:rsid w:val="000522D1"/>
    <w:rsid w:val="00053E15"/>
    <w:rsid w:val="000554CF"/>
    <w:rsid w:val="00055E3F"/>
    <w:rsid w:val="00063312"/>
    <w:rsid w:val="000635B4"/>
    <w:rsid w:val="00063C09"/>
    <w:rsid w:val="0006526C"/>
    <w:rsid w:val="000672A7"/>
    <w:rsid w:val="00067418"/>
    <w:rsid w:val="000714D1"/>
    <w:rsid w:val="00072AD5"/>
    <w:rsid w:val="00072AF1"/>
    <w:rsid w:val="000750BE"/>
    <w:rsid w:val="00076C3D"/>
    <w:rsid w:val="0007782A"/>
    <w:rsid w:val="00077942"/>
    <w:rsid w:val="0008129C"/>
    <w:rsid w:val="00084574"/>
    <w:rsid w:val="000857FF"/>
    <w:rsid w:val="0009149B"/>
    <w:rsid w:val="000A1E17"/>
    <w:rsid w:val="000A590D"/>
    <w:rsid w:val="000B0EBD"/>
    <w:rsid w:val="000B32D9"/>
    <w:rsid w:val="000B37E2"/>
    <w:rsid w:val="000B420D"/>
    <w:rsid w:val="000B60EA"/>
    <w:rsid w:val="000B668A"/>
    <w:rsid w:val="000C07FA"/>
    <w:rsid w:val="000C0978"/>
    <w:rsid w:val="000C1103"/>
    <w:rsid w:val="000C353B"/>
    <w:rsid w:val="000C6B63"/>
    <w:rsid w:val="000C713E"/>
    <w:rsid w:val="000D05B0"/>
    <w:rsid w:val="000D287D"/>
    <w:rsid w:val="000D37C3"/>
    <w:rsid w:val="000D457B"/>
    <w:rsid w:val="000E10D3"/>
    <w:rsid w:val="000E1F50"/>
    <w:rsid w:val="000E2765"/>
    <w:rsid w:val="000E5D64"/>
    <w:rsid w:val="000F0430"/>
    <w:rsid w:val="000F0E67"/>
    <w:rsid w:val="000F3B9B"/>
    <w:rsid w:val="00100B0F"/>
    <w:rsid w:val="00102664"/>
    <w:rsid w:val="0010453A"/>
    <w:rsid w:val="00110593"/>
    <w:rsid w:val="001141C5"/>
    <w:rsid w:val="0011546B"/>
    <w:rsid w:val="0011644A"/>
    <w:rsid w:val="0011788C"/>
    <w:rsid w:val="00117C2D"/>
    <w:rsid w:val="001244EF"/>
    <w:rsid w:val="00125135"/>
    <w:rsid w:val="001279CD"/>
    <w:rsid w:val="001362B7"/>
    <w:rsid w:val="00136869"/>
    <w:rsid w:val="00143F3F"/>
    <w:rsid w:val="00145B6E"/>
    <w:rsid w:val="00150908"/>
    <w:rsid w:val="00150DE0"/>
    <w:rsid w:val="001510BD"/>
    <w:rsid w:val="001513E0"/>
    <w:rsid w:val="001517E4"/>
    <w:rsid w:val="00155528"/>
    <w:rsid w:val="00160F13"/>
    <w:rsid w:val="0017344C"/>
    <w:rsid w:val="00173FA0"/>
    <w:rsid w:val="001747EA"/>
    <w:rsid w:val="00177D6E"/>
    <w:rsid w:val="00181BD5"/>
    <w:rsid w:val="00182941"/>
    <w:rsid w:val="00182EA2"/>
    <w:rsid w:val="00184B53"/>
    <w:rsid w:val="00187810"/>
    <w:rsid w:val="00190E5F"/>
    <w:rsid w:val="001912A3"/>
    <w:rsid w:val="00196323"/>
    <w:rsid w:val="001970FE"/>
    <w:rsid w:val="001A100E"/>
    <w:rsid w:val="001A162C"/>
    <w:rsid w:val="001A3390"/>
    <w:rsid w:val="001A36A4"/>
    <w:rsid w:val="001A43E5"/>
    <w:rsid w:val="001A5A47"/>
    <w:rsid w:val="001B4E5E"/>
    <w:rsid w:val="001C00F1"/>
    <w:rsid w:val="001C163D"/>
    <w:rsid w:val="001C3AA5"/>
    <w:rsid w:val="001C4089"/>
    <w:rsid w:val="001D1291"/>
    <w:rsid w:val="001D23DA"/>
    <w:rsid w:val="001D7E94"/>
    <w:rsid w:val="001E027C"/>
    <w:rsid w:val="001E0F21"/>
    <w:rsid w:val="001E465C"/>
    <w:rsid w:val="001E6601"/>
    <w:rsid w:val="001F043F"/>
    <w:rsid w:val="001F4767"/>
    <w:rsid w:val="001F6E45"/>
    <w:rsid w:val="001F7853"/>
    <w:rsid w:val="00200226"/>
    <w:rsid w:val="00200393"/>
    <w:rsid w:val="00201BE2"/>
    <w:rsid w:val="0020645D"/>
    <w:rsid w:val="00206FD8"/>
    <w:rsid w:val="00207040"/>
    <w:rsid w:val="00212160"/>
    <w:rsid w:val="002155D1"/>
    <w:rsid w:val="00217314"/>
    <w:rsid w:val="00220A19"/>
    <w:rsid w:val="002221AF"/>
    <w:rsid w:val="00222FBE"/>
    <w:rsid w:val="00224EAF"/>
    <w:rsid w:val="002251F1"/>
    <w:rsid w:val="00227C18"/>
    <w:rsid w:val="00230D1B"/>
    <w:rsid w:val="00234991"/>
    <w:rsid w:val="002376EE"/>
    <w:rsid w:val="002377D6"/>
    <w:rsid w:val="00237A4A"/>
    <w:rsid w:val="002438C2"/>
    <w:rsid w:val="00246C97"/>
    <w:rsid w:val="00253DE3"/>
    <w:rsid w:val="0025553D"/>
    <w:rsid w:val="00255F94"/>
    <w:rsid w:val="0025748C"/>
    <w:rsid w:val="00262824"/>
    <w:rsid w:val="00262AB2"/>
    <w:rsid w:val="002642E2"/>
    <w:rsid w:val="002649F6"/>
    <w:rsid w:val="00265E24"/>
    <w:rsid w:val="00266559"/>
    <w:rsid w:val="00266729"/>
    <w:rsid w:val="00266846"/>
    <w:rsid w:val="00272A71"/>
    <w:rsid w:val="00274887"/>
    <w:rsid w:val="00275CBF"/>
    <w:rsid w:val="002805CD"/>
    <w:rsid w:val="00282861"/>
    <w:rsid w:val="00282B9E"/>
    <w:rsid w:val="00282DB3"/>
    <w:rsid w:val="00283DC1"/>
    <w:rsid w:val="00284C6D"/>
    <w:rsid w:val="00285714"/>
    <w:rsid w:val="00285860"/>
    <w:rsid w:val="00286A36"/>
    <w:rsid w:val="0029051E"/>
    <w:rsid w:val="0029373F"/>
    <w:rsid w:val="00294AEA"/>
    <w:rsid w:val="00295315"/>
    <w:rsid w:val="0029597A"/>
    <w:rsid w:val="0029748A"/>
    <w:rsid w:val="002A0806"/>
    <w:rsid w:val="002A111B"/>
    <w:rsid w:val="002A18FD"/>
    <w:rsid w:val="002A252B"/>
    <w:rsid w:val="002A5692"/>
    <w:rsid w:val="002B006C"/>
    <w:rsid w:val="002B2979"/>
    <w:rsid w:val="002B2FAD"/>
    <w:rsid w:val="002B3CED"/>
    <w:rsid w:val="002B4965"/>
    <w:rsid w:val="002B4BD2"/>
    <w:rsid w:val="002B4FF0"/>
    <w:rsid w:val="002B592C"/>
    <w:rsid w:val="002B5F24"/>
    <w:rsid w:val="002B7045"/>
    <w:rsid w:val="002B7C9A"/>
    <w:rsid w:val="002C0298"/>
    <w:rsid w:val="002C3E77"/>
    <w:rsid w:val="002C7BE2"/>
    <w:rsid w:val="002D0A0F"/>
    <w:rsid w:val="002D1A47"/>
    <w:rsid w:val="002D1F3D"/>
    <w:rsid w:val="002D1FAE"/>
    <w:rsid w:val="002D22C6"/>
    <w:rsid w:val="002D47B8"/>
    <w:rsid w:val="002D47E4"/>
    <w:rsid w:val="002D6124"/>
    <w:rsid w:val="002E3B45"/>
    <w:rsid w:val="002E3F37"/>
    <w:rsid w:val="002E5308"/>
    <w:rsid w:val="002F21D6"/>
    <w:rsid w:val="002F28D4"/>
    <w:rsid w:val="002F46F4"/>
    <w:rsid w:val="002F6300"/>
    <w:rsid w:val="002F6391"/>
    <w:rsid w:val="0030011E"/>
    <w:rsid w:val="00301932"/>
    <w:rsid w:val="003022A1"/>
    <w:rsid w:val="003027C0"/>
    <w:rsid w:val="003039CA"/>
    <w:rsid w:val="00306F0E"/>
    <w:rsid w:val="00307208"/>
    <w:rsid w:val="00310366"/>
    <w:rsid w:val="00310DD0"/>
    <w:rsid w:val="00312192"/>
    <w:rsid w:val="0031294B"/>
    <w:rsid w:val="00312BF9"/>
    <w:rsid w:val="00314754"/>
    <w:rsid w:val="00315412"/>
    <w:rsid w:val="0033488F"/>
    <w:rsid w:val="00335790"/>
    <w:rsid w:val="00336E9D"/>
    <w:rsid w:val="00341316"/>
    <w:rsid w:val="00347B7A"/>
    <w:rsid w:val="0035163A"/>
    <w:rsid w:val="003533DD"/>
    <w:rsid w:val="00353669"/>
    <w:rsid w:val="00354F61"/>
    <w:rsid w:val="0035700E"/>
    <w:rsid w:val="00357BA9"/>
    <w:rsid w:val="00363EE5"/>
    <w:rsid w:val="003644F5"/>
    <w:rsid w:val="00364E7E"/>
    <w:rsid w:val="00365F00"/>
    <w:rsid w:val="0037441B"/>
    <w:rsid w:val="00374BA2"/>
    <w:rsid w:val="00374D09"/>
    <w:rsid w:val="00375AF6"/>
    <w:rsid w:val="00375D47"/>
    <w:rsid w:val="00375E2B"/>
    <w:rsid w:val="003773FD"/>
    <w:rsid w:val="00377943"/>
    <w:rsid w:val="003835B8"/>
    <w:rsid w:val="003862B0"/>
    <w:rsid w:val="003877BD"/>
    <w:rsid w:val="00390890"/>
    <w:rsid w:val="00391175"/>
    <w:rsid w:val="00392458"/>
    <w:rsid w:val="0039719E"/>
    <w:rsid w:val="003A00AA"/>
    <w:rsid w:val="003A38F4"/>
    <w:rsid w:val="003A3B2E"/>
    <w:rsid w:val="003A789E"/>
    <w:rsid w:val="003A7E7C"/>
    <w:rsid w:val="003B05C3"/>
    <w:rsid w:val="003B08D3"/>
    <w:rsid w:val="003B1EF4"/>
    <w:rsid w:val="003B61A2"/>
    <w:rsid w:val="003B7AFB"/>
    <w:rsid w:val="003C0D29"/>
    <w:rsid w:val="003C4401"/>
    <w:rsid w:val="003D338B"/>
    <w:rsid w:val="003D5C82"/>
    <w:rsid w:val="003D6C2B"/>
    <w:rsid w:val="003D7A83"/>
    <w:rsid w:val="003E05B8"/>
    <w:rsid w:val="003E2372"/>
    <w:rsid w:val="003E291D"/>
    <w:rsid w:val="003E3752"/>
    <w:rsid w:val="003E39DD"/>
    <w:rsid w:val="003E3F35"/>
    <w:rsid w:val="003E5C5C"/>
    <w:rsid w:val="003E6C69"/>
    <w:rsid w:val="003F0D01"/>
    <w:rsid w:val="003F14EA"/>
    <w:rsid w:val="003F154D"/>
    <w:rsid w:val="00402B60"/>
    <w:rsid w:val="004031A7"/>
    <w:rsid w:val="00405B9E"/>
    <w:rsid w:val="004114D6"/>
    <w:rsid w:val="00417E4A"/>
    <w:rsid w:val="004214AE"/>
    <w:rsid w:val="004244A8"/>
    <w:rsid w:val="0042608F"/>
    <w:rsid w:val="00431B6B"/>
    <w:rsid w:val="004327B9"/>
    <w:rsid w:val="00432806"/>
    <w:rsid w:val="00432815"/>
    <w:rsid w:val="0043481D"/>
    <w:rsid w:val="00436D34"/>
    <w:rsid w:val="00437174"/>
    <w:rsid w:val="00437702"/>
    <w:rsid w:val="00440940"/>
    <w:rsid w:val="00441248"/>
    <w:rsid w:val="004422F3"/>
    <w:rsid w:val="004439F5"/>
    <w:rsid w:val="00443F86"/>
    <w:rsid w:val="00444F1D"/>
    <w:rsid w:val="00446553"/>
    <w:rsid w:val="004475ED"/>
    <w:rsid w:val="004512DD"/>
    <w:rsid w:val="00455C40"/>
    <w:rsid w:val="00456F2F"/>
    <w:rsid w:val="00457014"/>
    <w:rsid w:val="00461677"/>
    <w:rsid w:val="004616AA"/>
    <w:rsid w:val="004617F0"/>
    <w:rsid w:val="00465672"/>
    <w:rsid w:val="00465869"/>
    <w:rsid w:val="00465A23"/>
    <w:rsid w:val="00465F75"/>
    <w:rsid w:val="004666DB"/>
    <w:rsid w:val="00467ED8"/>
    <w:rsid w:val="00472929"/>
    <w:rsid w:val="004750DE"/>
    <w:rsid w:val="00475BA3"/>
    <w:rsid w:val="004768AB"/>
    <w:rsid w:val="00476E54"/>
    <w:rsid w:val="00480006"/>
    <w:rsid w:val="0048132B"/>
    <w:rsid w:val="00483B53"/>
    <w:rsid w:val="00486EE1"/>
    <w:rsid w:val="00492477"/>
    <w:rsid w:val="00496A86"/>
    <w:rsid w:val="00497C1D"/>
    <w:rsid w:val="004A0472"/>
    <w:rsid w:val="004A0EBA"/>
    <w:rsid w:val="004A163D"/>
    <w:rsid w:val="004A2062"/>
    <w:rsid w:val="004A2CA3"/>
    <w:rsid w:val="004A33FC"/>
    <w:rsid w:val="004A525F"/>
    <w:rsid w:val="004A5A2D"/>
    <w:rsid w:val="004A5ECE"/>
    <w:rsid w:val="004A60C0"/>
    <w:rsid w:val="004A744E"/>
    <w:rsid w:val="004B3294"/>
    <w:rsid w:val="004B3B00"/>
    <w:rsid w:val="004B56E7"/>
    <w:rsid w:val="004B6F18"/>
    <w:rsid w:val="004C0E42"/>
    <w:rsid w:val="004C0ED2"/>
    <w:rsid w:val="004C18A0"/>
    <w:rsid w:val="004C43FB"/>
    <w:rsid w:val="004C470D"/>
    <w:rsid w:val="004C7FB2"/>
    <w:rsid w:val="004D5A7F"/>
    <w:rsid w:val="004D65B5"/>
    <w:rsid w:val="004D7077"/>
    <w:rsid w:val="004E065A"/>
    <w:rsid w:val="004E17D5"/>
    <w:rsid w:val="004E1CC7"/>
    <w:rsid w:val="004E31EA"/>
    <w:rsid w:val="004E3AB4"/>
    <w:rsid w:val="004E3BDB"/>
    <w:rsid w:val="004E3FF2"/>
    <w:rsid w:val="004E4601"/>
    <w:rsid w:val="004F0A37"/>
    <w:rsid w:val="004F11AA"/>
    <w:rsid w:val="004F4362"/>
    <w:rsid w:val="004F566D"/>
    <w:rsid w:val="004F7F78"/>
    <w:rsid w:val="00501591"/>
    <w:rsid w:val="00506B88"/>
    <w:rsid w:val="00510A53"/>
    <w:rsid w:val="00510E05"/>
    <w:rsid w:val="00511430"/>
    <w:rsid w:val="00512007"/>
    <w:rsid w:val="00515017"/>
    <w:rsid w:val="00517958"/>
    <w:rsid w:val="00517D28"/>
    <w:rsid w:val="0052149E"/>
    <w:rsid w:val="00523724"/>
    <w:rsid w:val="00526F54"/>
    <w:rsid w:val="005300FC"/>
    <w:rsid w:val="005331E8"/>
    <w:rsid w:val="005350CA"/>
    <w:rsid w:val="00535800"/>
    <w:rsid w:val="0054205F"/>
    <w:rsid w:val="005425F3"/>
    <w:rsid w:val="00544109"/>
    <w:rsid w:val="0054653D"/>
    <w:rsid w:val="00547A0B"/>
    <w:rsid w:val="00551168"/>
    <w:rsid w:val="00551B4B"/>
    <w:rsid w:val="005527E6"/>
    <w:rsid w:val="00555011"/>
    <w:rsid w:val="00557568"/>
    <w:rsid w:val="00557E85"/>
    <w:rsid w:val="00564F11"/>
    <w:rsid w:val="0056619A"/>
    <w:rsid w:val="0057176E"/>
    <w:rsid w:val="00572953"/>
    <w:rsid w:val="0057297D"/>
    <w:rsid w:val="00573D03"/>
    <w:rsid w:val="00575711"/>
    <w:rsid w:val="005811B2"/>
    <w:rsid w:val="00582CF2"/>
    <w:rsid w:val="0058372E"/>
    <w:rsid w:val="00584E0B"/>
    <w:rsid w:val="005851C8"/>
    <w:rsid w:val="0058669D"/>
    <w:rsid w:val="0058673C"/>
    <w:rsid w:val="00586E1E"/>
    <w:rsid w:val="00586F0C"/>
    <w:rsid w:val="00593A8A"/>
    <w:rsid w:val="00595069"/>
    <w:rsid w:val="0059557F"/>
    <w:rsid w:val="00595A80"/>
    <w:rsid w:val="0059781F"/>
    <w:rsid w:val="005A0142"/>
    <w:rsid w:val="005A3FC2"/>
    <w:rsid w:val="005A428B"/>
    <w:rsid w:val="005A5923"/>
    <w:rsid w:val="005B1A90"/>
    <w:rsid w:val="005B3B66"/>
    <w:rsid w:val="005B542C"/>
    <w:rsid w:val="005B597D"/>
    <w:rsid w:val="005C01DE"/>
    <w:rsid w:val="005C31F9"/>
    <w:rsid w:val="005C3F45"/>
    <w:rsid w:val="005C4CB2"/>
    <w:rsid w:val="005C535B"/>
    <w:rsid w:val="005C56C7"/>
    <w:rsid w:val="005C78EE"/>
    <w:rsid w:val="005D10C6"/>
    <w:rsid w:val="005D1693"/>
    <w:rsid w:val="005D22DD"/>
    <w:rsid w:val="005D3EA5"/>
    <w:rsid w:val="005D4B7E"/>
    <w:rsid w:val="005D51A3"/>
    <w:rsid w:val="005D59AE"/>
    <w:rsid w:val="005D7737"/>
    <w:rsid w:val="005E0264"/>
    <w:rsid w:val="005E2CEF"/>
    <w:rsid w:val="005E5FD4"/>
    <w:rsid w:val="005E62C3"/>
    <w:rsid w:val="005E6CAD"/>
    <w:rsid w:val="005F3859"/>
    <w:rsid w:val="006008DD"/>
    <w:rsid w:val="00602C07"/>
    <w:rsid w:val="0060480D"/>
    <w:rsid w:val="00605519"/>
    <w:rsid w:val="0060670D"/>
    <w:rsid w:val="0061515A"/>
    <w:rsid w:val="00623817"/>
    <w:rsid w:val="00623BCF"/>
    <w:rsid w:val="006265CE"/>
    <w:rsid w:val="00627233"/>
    <w:rsid w:val="00630AF5"/>
    <w:rsid w:val="006427F7"/>
    <w:rsid w:val="00643063"/>
    <w:rsid w:val="006434FA"/>
    <w:rsid w:val="0064659A"/>
    <w:rsid w:val="00647E67"/>
    <w:rsid w:val="00650346"/>
    <w:rsid w:val="00650FDA"/>
    <w:rsid w:val="00652C47"/>
    <w:rsid w:val="00663EC5"/>
    <w:rsid w:val="00665AC4"/>
    <w:rsid w:val="0066730F"/>
    <w:rsid w:val="00667B35"/>
    <w:rsid w:val="00670772"/>
    <w:rsid w:val="0067420E"/>
    <w:rsid w:val="00674B25"/>
    <w:rsid w:val="00681995"/>
    <w:rsid w:val="0068241D"/>
    <w:rsid w:val="00684A2D"/>
    <w:rsid w:val="0068541B"/>
    <w:rsid w:val="006859A2"/>
    <w:rsid w:val="00687ABF"/>
    <w:rsid w:val="006904BA"/>
    <w:rsid w:val="00690F89"/>
    <w:rsid w:val="00691686"/>
    <w:rsid w:val="00691DF5"/>
    <w:rsid w:val="00692C26"/>
    <w:rsid w:val="00695B53"/>
    <w:rsid w:val="006A0E27"/>
    <w:rsid w:val="006A2DA7"/>
    <w:rsid w:val="006A2DDB"/>
    <w:rsid w:val="006A6A60"/>
    <w:rsid w:val="006B0374"/>
    <w:rsid w:val="006B1D4F"/>
    <w:rsid w:val="006B2AD8"/>
    <w:rsid w:val="006B3645"/>
    <w:rsid w:val="006B46E2"/>
    <w:rsid w:val="006B55F3"/>
    <w:rsid w:val="006B61F4"/>
    <w:rsid w:val="006B6C99"/>
    <w:rsid w:val="006C02AB"/>
    <w:rsid w:val="006C0C46"/>
    <w:rsid w:val="006C2A7A"/>
    <w:rsid w:val="006C50A0"/>
    <w:rsid w:val="006C58A5"/>
    <w:rsid w:val="006C6455"/>
    <w:rsid w:val="006C6D93"/>
    <w:rsid w:val="006C750A"/>
    <w:rsid w:val="006C7CC0"/>
    <w:rsid w:val="006C7D8B"/>
    <w:rsid w:val="006D101C"/>
    <w:rsid w:val="006D2E0F"/>
    <w:rsid w:val="006D563B"/>
    <w:rsid w:val="006D5B03"/>
    <w:rsid w:val="006D7DD9"/>
    <w:rsid w:val="006E01C3"/>
    <w:rsid w:val="006E2B21"/>
    <w:rsid w:val="006E3008"/>
    <w:rsid w:val="006E4175"/>
    <w:rsid w:val="006F5EE0"/>
    <w:rsid w:val="00700AFA"/>
    <w:rsid w:val="0070212A"/>
    <w:rsid w:val="00702B57"/>
    <w:rsid w:val="007031E9"/>
    <w:rsid w:val="00703719"/>
    <w:rsid w:val="007069B5"/>
    <w:rsid w:val="00707181"/>
    <w:rsid w:val="00707500"/>
    <w:rsid w:val="00707B3F"/>
    <w:rsid w:val="00707FC9"/>
    <w:rsid w:val="00710520"/>
    <w:rsid w:val="00710B2C"/>
    <w:rsid w:val="007151B0"/>
    <w:rsid w:val="0071573F"/>
    <w:rsid w:val="00716B1E"/>
    <w:rsid w:val="007173B1"/>
    <w:rsid w:val="00724780"/>
    <w:rsid w:val="007248BA"/>
    <w:rsid w:val="00726606"/>
    <w:rsid w:val="00732FBD"/>
    <w:rsid w:val="00735721"/>
    <w:rsid w:val="00736203"/>
    <w:rsid w:val="007374A2"/>
    <w:rsid w:val="0073783F"/>
    <w:rsid w:val="007427AA"/>
    <w:rsid w:val="007433A3"/>
    <w:rsid w:val="00743886"/>
    <w:rsid w:val="00746D76"/>
    <w:rsid w:val="0074791E"/>
    <w:rsid w:val="00751B89"/>
    <w:rsid w:val="0075240A"/>
    <w:rsid w:val="0075271A"/>
    <w:rsid w:val="00752D5B"/>
    <w:rsid w:val="00753D6B"/>
    <w:rsid w:val="0075422C"/>
    <w:rsid w:val="00754923"/>
    <w:rsid w:val="007559AD"/>
    <w:rsid w:val="00755E3B"/>
    <w:rsid w:val="007569B5"/>
    <w:rsid w:val="00762F8D"/>
    <w:rsid w:val="00763A92"/>
    <w:rsid w:val="00764B12"/>
    <w:rsid w:val="00764E26"/>
    <w:rsid w:val="007657B8"/>
    <w:rsid w:val="00766226"/>
    <w:rsid w:val="007705B8"/>
    <w:rsid w:val="00772EA1"/>
    <w:rsid w:val="007740BB"/>
    <w:rsid w:val="007749A9"/>
    <w:rsid w:val="00775299"/>
    <w:rsid w:val="00777F85"/>
    <w:rsid w:val="00780B03"/>
    <w:rsid w:val="00783F7E"/>
    <w:rsid w:val="007857B8"/>
    <w:rsid w:val="00785FC1"/>
    <w:rsid w:val="0078720F"/>
    <w:rsid w:val="00787FAE"/>
    <w:rsid w:val="00792466"/>
    <w:rsid w:val="00792806"/>
    <w:rsid w:val="00792AB6"/>
    <w:rsid w:val="0079558F"/>
    <w:rsid w:val="007977EA"/>
    <w:rsid w:val="007A0416"/>
    <w:rsid w:val="007A0C3E"/>
    <w:rsid w:val="007A20BD"/>
    <w:rsid w:val="007A2C73"/>
    <w:rsid w:val="007A3CB7"/>
    <w:rsid w:val="007A4CCB"/>
    <w:rsid w:val="007A5C96"/>
    <w:rsid w:val="007A6681"/>
    <w:rsid w:val="007A691F"/>
    <w:rsid w:val="007B5545"/>
    <w:rsid w:val="007C2515"/>
    <w:rsid w:val="007C2A33"/>
    <w:rsid w:val="007C331B"/>
    <w:rsid w:val="007D2EA5"/>
    <w:rsid w:val="007D4879"/>
    <w:rsid w:val="007D7B7D"/>
    <w:rsid w:val="007E01BC"/>
    <w:rsid w:val="007E490F"/>
    <w:rsid w:val="007E640D"/>
    <w:rsid w:val="007E6604"/>
    <w:rsid w:val="007F00F3"/>
    <w:rsid w:val="007F5E2A"/>
    <w:rsid w:val="007F7F91"/>
    <w:rsid w:val="00800757"/>
    <w:rsid w:val="008030C8"/>
    <w:rsid w:val="008102C4"/>
    <w:rsid w:val="00811FA7"/>
    <w:rsid w:val="008171BE"/>
    <w:rsid w:val="0081743D"/>
    <w:rsid w:val="008221BE"/>
    <w:rsid w:val="0082229E"/>
    <w:rsid w:val="0082663A"/>
    <w:rsid w:val="00826E40"/>
    <w:rsid w:val="00827699"/>
    <w:rsid w:val="00827C26"/>
    <w:rsid w:val="00835727"/>
    <w:rsid w:val="00836701"/>
    <w:rsid w:val="00836C2A"/>
    <w:rsid w:val="00836F71"/>
    <w:rsid w:val="0083742B"/>
    <w:rsid w:val="00852527"/>
    <w:rsid w:val="00852C00"/>
    <w:rsid w:val="00853DDE"/>
    <w:rsid w:val="008545FE"/>
    <w:rsid w:val="008547F5"/>
    <w:rsid w:val="008614D0"/>
    <w:rsid w:val="00861C57"/>
    <w:rsid w:val="0086212B"/>
    <w:rsid w:val="00862AA9"/>
    <w:rsid w:val="0086393A"/>
    <w:rsid w:val="0086668F"/>
    <w:rsid w:val="0087037A"/>
    <w:rsid w:val="00871FAE"/>
    <w:rsid w:val="0087284B"/>
    <w:rsid w:val="008745C7"/>
    <w:rsid w:val="008749AF"/>
    <w:rsid w:val="00875981"/>
    <w:rsid w:val="0087690B"/>
    <w:rsid w:val="00877082"/>
    <w:rsid w:val="00883260"/>
    <w:rsid w:val="0088336D"/>
    <w:rsid w:val="00885709"/>
    <w:rsid w:val="00891B56"/>
    <w:rsid w:val="00893E42"/>
    <w:rsid w:val="0089402A"/>
    <w:rsid w:val="008A0099"/>
    <w:rsid w:val="008A1A46"/>
    <w:rsid w:val="008A2551"/>
    <w:rsid w:val="008A2897"/>
    <w:rsid w:val="008A3EA0"/>
    <w:rsid w:val="008A4FFE"/>
    <w:rsid w:val="008A7491"/>
    <w:rsid w:val="008B06DB"/>
    <w:rsid w:val="008B40E6"/>
    <w:rsid w:val="008B5531"/>
    <w:rsid w:val="008B67EA"/>
    <w:rsid w:val="008C2928"/>
    <w:rsid w:val="008C46B6"/>
    <w:rsid w:val="008C4839"/>
    <w:rsid w:val="008C74EE"/>
    <w:rsid w:val="008D0AD7"/>
    <w:rsid w:val="008D2798"/>
    <w:rsid w:val="008D3FD2"/>
    <w:rsid w:val="008D5893"/>
    <w:rsid w:val="008D648C"/>
    <w:rsid w:val="008E0044"/>
    <w:rsid w:val="008E030A"/>
    <w:rsid w:val="008E0A28"/>
    <w:rsid w:val="008E1303"/>
    <w:rsid w:val="008E2490"/>
    <w:rsid w:val="008E37CC"/>
    <w:rsid w:val="008E38C9"/>
    <w:rsid w:val="008E3FC0"/>
    <w:rsid w:val="008E591F"/>
    <w:rsid w:val="008E73CA"/>
    <w:rsid w:val="008F0ACC"/>
    <w:rsid w:val="008F0CB2"/>
    <w:rsid w:val="008F7565"/>
    <w:rsid w:val="00901486"/>
    <w:rsid w:val="00901D3F"/>
    <w:rsid w:val="00902139"/>
    <w:rsid w:val="00904124"/>
    <w:rsid w:val="00906600"/>
    <w:rsid w:val="00906D38"/>
    <w:rsid w:val="009112A5"/>
    <w:rsid w:val="00912A07"/>
    <w:rsid w:val="009155BE"/>
    <w:rsid w:val="00915637"/>
    <w:rsid w:val="009169FE"/>
    <w:rsid w:val="00917F6C"/>
    <w:rsid w:val="009231E9"/>
    <w:rsid w:val="009233E9"/>
    <w:rsid w:val="00924449"/>
    <w:rsid w:val="00924AB7"/>
    <w:rsid w:val="00925325"/>
    <w:rsid w:val="00925863"/>
    <w:rsid w:val="0092713E"/>
    <w:rsid w:val="00927732"/>
    <w:rsid w:val="00927F2B"/>
    <w:rsid w:val="00936072"/>
    <w:rsid w:val="009377FC"/>
    <w:rsid w:val="009379AF"/>
    <w:rsid w:val="009444A4"/>
    <w:rsid w:val="009470E3"/>
    <w:rsid w:val="00947ECA"/>
    <w:rsid w:val="009509DD"/>
    <w:rsid w:val="0095173E"/>
    <w:rsid w:val="0095335A"/>
    <w:rsid w:val="0095433F"/>
    <w:rsid w:val="009551F9"/>
    <w:rsid w:val="009575F7"/>
    <w:rsid w:val="00957E3C"/>
    <w:rsid w:val="00961ED1"/>
    <w:rsid w:val="00962698"/>
    <w:rsid w:val="00966675"/>
    <w:rsid w:val="00967C3E"/>
    <w:rsid w:val="009703F9"/>
    <w:rsid w:val="00972C41"/>
    <w:rsid w:val="009734CD"/>
    <w:rsid w:val="00974B8D"/>
    <w:rsid w:val="009763E2"/>
    <w:rsid w:val="009777CA"/>
    <w:rsid w:val="00982AFC"/>
    <w:rsid w:val="00984FD4"/>
    <w:rsid w:val="00986DF6"/>
    <w:rsid w:val="00987247"/>
    <w:rsid w:val="0099003B"/>
    <w:rsid w:val="00991E27"/>
    <w:rsid w:val="00992334"/>
    <w:rsid w:val="00992D73"/>
    <w:rsid w:val="0099320B"/>
    <w:rsid w:val="009934CD"/>
    <w:rsid w:val="00993B9F"/>
    <w:rsid w:val="009A272C"/>
    <w:rsid w:val="009A7958"/>
    <w:rsid w:val="009B1C9C"/>
    <w:rsid w:val="009B2B28"/>
    <w:rsid w:val="009B3D57"/>
    <w:rsid w:val="009B49C8"/>
    <w:rsid w:val="009B53F3"/>
    <w:rsid w:val="009C003C"/>
    <w:rsid w:val="009C3AB6"/>
    <w:rsid w:val="009C46B6"/>
    <w:rsid w:val="009C6B1B"/>
    <w:rsid w:val="009D0021"/>
    <w:rsid w:val="009D004F"/>
    <w:rsid w:val="009D0620"/>
    <w:rsid w:val="009D1C19"/>
    <w:rsid w:val="009D287F"/>
    <w:rsid w:val="009D326E"/>
    <w:rsid w:val="009D4CBA"/>
    <w:rsid w:val="009D4F70"/>
    <w:rsid w:val="009D5BC3"/>
    <w:rsid w:val="009D5EFE"/>
    <w:rsid w:val="009D715D"/>
    <w:rsid w:val="009D76D6"/>
    <w:rsid w:val="009D7F07"/>
    <w:rsid w:val="009E18A7"/>
    <w:rsid w:val="009E1FE2"/>
    <w:rsid w:val="009E4AB0"/>
    <w:rsid w:val="009E540B"/>
    <w:rsid w:val="009E6A52"/>
    <w:rsid w:val="009F4B5E"/>
    <w:rsid w:val="009F6D09"/>
    <w:rsid w:val="00A00522"/>
    <w:rsid w:val="00A027BB"/>
    <w:rsid w:val="00A05901"/>
    <w:rsid w:val="00A103DE"/>
    <w:rsid w:val="00A1167B"/>
    <w:rsid w:val="00A118E8"/>
    <w:rsid w:val="00A15C20"/>
    <w:rsid w:val="00A16607"/>
    <w:rsid w:val="00A20E65"/>
    <w:rsid w:val="00A21551"/>
    <w:rsid w:val="00A220B5"/>
    <w:rsid w:val="00A224BC"/>
    <w:rsid w:val="00A238D8"/>
    <w:rsid w:val="00A23A40"/>
    <w:rsid w:val="00A268A1"/>
    <w:rsid w:val="00A4494A"/>
    <w:rsid w:val="00A51EE3"/>
    <w:rsid w:val="00A55DEB"/>
    <w:rsid w:val="00A63D37"/>
    <w:rsid w:val="00A6426A"/>
    <w:rsid w:val="00A653F4"/>
    <w:rsid w:val="00A66174"/>
    <w:rsid w:val="00A76BC7"/>
    <w:rsid w:val="00A76E6B"/>
    <w:rsid w:val="00A770D9"/>
    <w:rsid w:val="00A80569"/>
    <w:rsid w:val="00A812D9"/>
    <w:rsid w:val="00A81A03"/>
    <w:rsid w:val="00A81C6B"/>
    <w:rsid w:val="00A832CB"/>
    <w:rsid w:val="00A83E2D"/>
    <w:rsid w:val="00A83F91"/>
    <w:rsid w:val="00A85B95"/>
    <w:rsid w:val="00A86AE0"/>
    <w:rsid w:val="00A86D46"/>
    <w:rsid w:val="00A872E5"/>
    <w:rsid w:val="00A8758B"/>
    <w:rsid w:val="00A92B51"/>
    <w:rsid w:val="00A93DC6"/>
    <w:rsid w:val="00A94A9D"/>
    <w:rsid w:val="00A94BB9"/>
    <w:rsid w:val="00AA3E03"/>
    <w:rsid w:val="00AA61FF"/>
    <w:rsid w:val="00AA6831"/>
    <w:rsid w:val="00AB1244"/>
    <w:rsid w:val="00AB549D"/>
    <w:rsid w:val="00AB7B27"/>
    <w:rsid w:val="00AC4A9D"/>
    <w:rsid w:val="00AC688A"/>
    <w:rsid w:val="00AD22E1"/>
    <w:rsid w:val="00AD5014"/>
    <w:rsid w:val="00AD7D7F"/>
    <w:rsid w:val="00AE069A"/>
    <w:rsid w:val="00AE1103"/>
    <w:rsid w:val="00AE35F0"/>
    <w:rsid w:val="00AE4978"/>
    <w:rsid w:val="00AE531D"/>
    <w:rsid w:val="00AE6163"/>
    <w:rsid w:val="00AE6492"/>
    <w:rsid w:val="00AE78AE"/>
    <w:rsid w:val="00AE7D7A"/>
    <w:rsid w:val="00AF26D6"/>
    <w:rsid w:val="00AF417D"/>
    <w:rsid w:val="00AF7AB0"/>
    <w:rsid w:val="00B01F36"/>
    <w:rsid w:val="00B042F0"/>
    <w:rsid w:val="00B05B96"/>
    <w:rsid w:val="00B06E98"/>
    <w:rsid w:val="00B07AB4"/>
    <w:rsid w:val="00B10530"/>
    <w:rsid w:val="00B10897"/>
    <w:rsid w:val="00B12927"/>
    <w:rsid w:val="00B15CD6"/>
    <w:rsid w:val="00B15EB0"/>
    <w:rsid w:val="00B15FCC"/>
    <w:rsid w:val="00B20523"/>
    <w:rsid w:val="00B21976"/>
    <w:rsid w:val="00B23D9D"/>
    <w:rsid w:val="00B25364"/>
    <w:rsid w:val="00B324E5"/>
    <w:rsid w:val="00B32C57"/>
    <w:rsid w:val="00B33F2C"/>
    <w:rsid w:val="00B408EA"/>
    <w:rsid w:val="00B41316"/>
    <w:rsid w:val="00B4545A"/>
    <w:rsid w:val="00B45C26"/>
    <w:rsid w:val="00B50987"/>
    <w:rsid w:val="00B52295"/>
    <w:rsid w:val="00B52B5F"/>
    <w:rsid w:val="00B56164"/>
    <w:rsid w:val="00B56788"/>
    <w:rsid w:val="00B56792"/>
    <w:rsid w:val="00B56DD5"/>
    <w:rsid w:val="00B572F5"/>
    <w:rsid w:val="00B641C5"/>
    <w:rsid w:val="00B64240"/>
    <w:rsid w:val="00B64749"/>
    <w:rsid w:val="00B64F0E"/>
    <w:rsid w:val="00B658D3"/>
    <w:rsid w:val="00B659F9"/>
    <w:rsid w:val="00B70E5D"/>
    <w:rsid w:val="00B801CD"/>
    <w:rsid w:val="00B814E8"/>
    <w:rsid w:val="00B817C3"/>
    <w:rsid w:val="00B822E6"/>
    <w:rsid w:val="00B865B6"/>
    <w:rsid w:val="00B91AD5"/>
    <w:rsid w:val="00B95FA0"/>
    <w:rsid w:val="00B97759"/>
    <w:rsid w:val="00BA1E9A"/>
    <w:rsid w:val="00BA5D29"/>
    <w:rsid w:val="00BA6C05"/>
    <w:rsid w:val="00BA6F22"/>
    <w:rsid w:val="00BA7823"/>
    <w:rsid w:val="00BA7B01"/>
    <w:rsid w:val="00BB0659"/>
    <w:rsid w:val="00BB1677"/>
    <w:rsid w:val="00BB2205"/>
    <w:rsid w:val="00BB664E"/>
    <w:rsid w:val="00BC293E"/>
    <w:rsid w:val="00BC5A9E"/>
    <w:rsid w:val="00BC62FB"/>
    <w:rsid w:val="00BD008B"/>
    <w:rsid w:val="00BD2EC3"/>
    <w:rsid w:val="00BD502D"/>
    <w:rsid w:val="00BD597D"/>
    <w:rsid w:val="00BD6692"/>
    <w:rsid w:val="00BD6FA4"/>
    <w:rsid w:val="00BE1611"/>
    <w:rsid w:val="00BE3836"/>
    <w:rsid w:val="00BE477E"/>
    <w:rsid w:val="00BE6950"/>
    <w:rsid w:val="00BE6D8C"/>
    <w:rsid w:val="00BE75DB"/>
    <w:rsid w:val="00BF0283"/>
    <w:rsid w:val="00BF172D"/>
    <w:rsid w:val="00BF3ADA"/>
    <w:rsid w:val="00BF48FC"/>
    <w:rsid w:val="00BF5E84"/>
    <w:rsid w:val="00BF6177"/>
    <w:rsid w:val="00BF768E"/>
    <w:rsid w:val="00BF7995"/>
    <w:rsid w:val="00C0078F"/>
    <w:rsid w:val="00C013A7"/>
    <w:rsid w:val="00C0444C"/>
    <w:rsid w:val="00C05756"/>
    <w:rsid w:val="00C0757A"/>
    <w:rsid w:val="00C109C5"/>
    <w:rsid w:val="00C111E1"/>
    <w:rsid w:val="00C11C77"/>
    <w:rsid w:val="00C1354C"/>
    <w:rsid w:val="00C13EED"/>
    <w:rsid w:val="00C24D47"/>
    <w:rsid w:val="00C276BC"/>
    <w:rsid w:val="00C32558"/>
    <w:rsid w:val="00C32A59"/>
    <w:rsid w:val="00C33050"/>
    <w:rsid w:val="00C347ED"/>
    <w:rsid w:val="00C3533E"/>
    <w:rsid w:val="00C369AA"/>
    <w:rsid w:val="00C36E70"/>
    <w:rsid w:val="00C40134"/>
    <w:rsid w:val="00C40631"/>
    <w:rsid w:val="00C406F1"/>
    <w:rsid w:val="00C40A1D"/>
    <w:rsid w:val="00C40F0A"/>
    <w:rsid w:val="00C41696"/>
    <w:rsid w:val="00C42682"/>
    <w:rsid w:val="00C4277B"/>
    <w:rsid w:val="00C45683"/>
    <w:rsid w:val="00C45FB3"/>
    <w:rsid w:val="00C466CA"/>
    <w:rsid w:val="00C46923"/>
    <w:rsid w:val="00C50A4C"/>
    <w:rsid w:val="00C51F1E"/>
    <w:rsid w:val="00C52B95"/>
    <w:rsid w:val="00C5341B"/>
    <w:rsid w:val="00C53673"/>
    <w:rsid w:val="00C53694"/>
    <w:rsid w:val="00C549C1"/>
    <w:rsid w:val="00C54B5C"/>
    <w:rsid w:val="00C61929"/>
    <w:rsid w:val="00C63A74"/>
    <w:rsid w:val="00C65B9D"/>
    <w:rsid w:val="00C670EA"/>
    <w:rsid w:val="00C67716"/>
    <w:rsid w:val="00C67EAB"/>
    <w:rsid w:val="00C70B23"/>
    <w:rsid w:val="00C71C47"/>
    <w:rsid w:val="00C756C9"/>
    <w:rsid w:val="00C77E5D"/>
    <w:rsid w:val="00C91576"/>
    <w:rsid w:val="00C918C4"/>
    <w:rsid w:val="00C93A4D"/>
    <w:rsid w:val="00CA1097"/>
    <w:rsid w:val="00CA364E"/>
    <w:rsid w:val="00CA4064"/>
    <w:rsid w:val="00CA4FDF"/>
    <w:rsid w:val="00CA6473"/>
    <w:rsid w:val="00CA7A5F"/>
    <w:rsid w:val="00CA7A85"/>
    <w:rsid w:val="00CB0F82"/>
    <w:rsid w:val="00CB1FC6"/>
    <w:rsid w:val="00CB22EB"/>
    <w:rsid w:val="00CB4C3A"/>
    <w:rsid w:val="00CB529A"/>
    <w:rsid w:val="00CB62DC"/>
    <w:rsid w:val="00CC0D42"/>
    <w:rsid w:val="00CC4775"/>
    <w:rsid w:val="00CC575B"/>
    <w:rsid w:val="00CD2966"/>
    <w:rsid w:val="00CD6845"/>
    <w:rsid w:val="00CD70D9"/>
    <w:rsid w:val="00CD7207"/>
    <w:rsid w:val="00CE05F0"/>
    <w:rsid w:val="00CE307E"/>
    <w:rsid w:val="00CE31A1"/>
    <w:rsid w:val="00CE7719"/>
    <w:rsid w:val="00CF1E29"/>
    <w:rsid w:val="00CF2479"/>
    <w:rsid w:val="00CF3B30"/>
    <w:rsid w:val="00CF4B20"/>
    <w:rsid w:val="00CF6AF6"/>
    <w:rsid w:val="00CF7876"/>
    <w:rsid w:val="00D00752"/>
    <w:rsid w:val="00D01537"/>
    <w:rsid w:val="00D03CA2"/>
    <w:rsid w:val="00D04E49"/>
    <w:rsid w:val="00D0530D"/>
    <w:rsid w:val="00D06AB0"/>
    <w:rsid w:val="00D12963"/>
    <w:rsid w:val="00D12992"/>
    <w:rsid w:val="00D12E93"/>
    <w:rsid w:val="00D15A1C"/>
    <w:rsid w:val="00D169E7"/>
    <w:rsid w:val="00D2037E"/>
    <w:rsid w:val="00D207C1"/>
    <w:rsid w:val="00D20AAC"/>
    <w:rsid w:val="00D217AA"/>
    <w:rsid w:val="00D24BF4"/>
    <w:rsid w:val="00D2593D"/>
    <w:rsid w:val="00D337E0"/>
    <w:rsid w:val="00D35474"/>
    <w:rsid w:val="00D36AF6"/>
    <w:rsid w:val="00D404CA"/>
    <w:rsid w:val="00D4370A"/>
    <w:rsid w:val="00D44BBF"/>
    <w:rsid w:val="00D452D0"/>
    <w:rsid w:val="00D5188C"/>
    <w:rsid w:val="00D53FDF"/>
    <w:rsid w:val="00D542F1"/>
    <w:rsid w:val="00D542F7"/>
    <w:rsid w:val="00D55B83"/>
    <w:rsid w:val="00D55D08"/>
    <w:rsid w:val="00D57826"/>
    <w:rsid w:val="00D60736"/>
    <w:rsid w:val="00D623C8"/>
    <w:rsid w:val="00D6355A"/>
    <w:rsid w:val="00D64E5E"/>
    <w:rsid w:val="00D666AF"/>
    <w:rsid w:val="00D70C5C"/>
    <w:rsid w:val="00D75BB9"/>
    <w:rsid w:val="00D766B0"/>
    <w:rsid w:val="00D8406C"/>
    <w:rsid w:val="00D864F6"/>
    <w:rsid w:val="00D87288"/>
    <w:rsid w:val="00D91699"/>
    <w:rsid w:val="00D91C21"/>
    <w:rsid w:val="00D920F7"/>
    <w:rsid w:val="00D92AAF"/>
    <w:rsid w:val="00D93129"/>
    <w:rsid w:val="00D951A6"/>
    <w:rsid w:val="00DA0FF0"/>
    <w:rsid w:val="00DA1599"/>
    <w:rsid w:val="00DA23D8"/>
    <w:rsid w:val="00DA7A3D"/>
    <w:rsid w:val="00DB043F"/>
    <w:rsid w:val="00DB0E5A"/>
    <w:rsid w:val="00DB1E25"/>
    <w:rsid w:val="00DB44BD"/>
    <w:rsid w:val="00DB5CF4"/>
    <w:rsid w:val="00DC0C4E"/>
    <w:rsid w:val="00DC2008"/>
    <w:rsid w:val="00DC735E"/>
    <w:rsid w:val="00DD0235"/>
    <w:rsid w:val="00DD0FC8"/>
    <w:rsid w:val="00DD2037"/>
    <w:rsid w:val="00DD2972"/>
    <w:rsid w:val="00DD53C8"/>
    <w:rsid w:val="00DD6D08"/>
    <w:rsid w:val="00DD7773"/>
    <w:rsid w:val="00DE2488"/>
    <w:rsid w:val="00DE4E12"/>
    <w:rsid w:val="00DE528B"/>
    <w:rsid w:val="00DE6474"/>
    <w:rsid w:val="00DE6625"/>
    <w:rsid w:val="00DF1335"/>
    <w:rsid w:val="00DF6CF4"/>
    <w:rsid w:val="00E02142"/>
    <w:rsid w:val="00E048CF"/>
    <w:rsid w:val="00E071E4"/>
    <w:rsid w:val="00E12776"/>
    <w:rsid w:val="00E143B1"/>
    <w:rsid w:val="00E1599E"/>
    <w:rsid w:val="00E17218"/>
    <w:rsid w:val="00E22E25"/>
    <w:rsid w:val="00E24124"/>
    <w:rsid w:val="00E24DA9"/>
    <w:rsid w:val="00E27F37"/>
    <w:rsid w:val="00E344C1"/>
    <w:rsid w:val="00E354A8"/>
    <w:rsid w:val="00E37E33"/>
    <w:rsid w:val="00E417E1"/>
    <w:rsid w:val="00E42199"/>
    <w:rsid w:val="00E423E1"/>
    <w:rsid w:val="00E42A7B"/>
    <w:rsid w:val="00E44D6B"/>
    <w:rsid w:val="00E478B8"/>
    <w:rsid w:val="00E54150"/>
    <w:rsid w:val="00E55C5E"/>
    <w:rsid w:val="00E61E57"/>
    <w:rsid w:val="00E62142"/>
    <w:rsid w:val="00E62B36"/>
    <w:rsid w:val="00E62F66"/>
    <w:rsid w:val="00E632A9"/>
    <w:rsid w:val="00E64AE5"/>
    <w:rsid w:val="00E64F83"/>
    <w:rsid w:val="00E65D74"/>
    <w:rsid w:val="00E6615D"/>
    <w:rsid w:val="00E70BD2"/>
    <w:rsid w:val="00E72867"/>
    <w:rsid w:val="00E75E23"/>
    <w:rsid w:val="00E75E2D"/>
    <w:rsid w:val="00E811EE"/>
    <w:rsid w:val="00E82FA4"/>
    <w:rsid w:val="00E839C9"/>
    <w:rsid w:val="00E85F2B"/>
    <w:rsid w:val="00E86752"/>
    <w:rsid w:val="00E86963"/>
    <w:rsid w:val="00E874D6"/>
    <w:rsid w:val="00E9054A"/>
    <w:rsid w:val="00E9077C"/>
    <w:rsid w:val="00E91086"/>
    <w:rsid w:val="00E91535"/>
    <w:rsid w:val="00E92876"/>
    <w:rsid w:val="00EA0770"/>
    <w:rsid w:val="00EA18DB"/>
    <w:rsid w:val="00EA3E4F"/>
    <w:rsid w:val="00EB3F97"/>
    <w:rsid w:val="00EB43D8"/>
    <w:rsid w:val="00EB6296"/>
    <w:rsid w:val="00EB7ED6"/>
    <w:rsid w:val="00EC1E6D"/>
    <w:rsid w:val="00EC1F35"/>
    <w:rsid w:val="00EC2974"/>
    <w:rsid w:val="00EC541F"/>
    <w:rsid w:val="00EC6574"/>
    <w:rsid w:val="00EC7D5E"/>
    <w:rsid w:val="00ED1E4B"/>
    <w:rsid w:val="00ED72D1"/>
    <w:rsid w:val="00ED72D6"/>
    <w:rsid w:val="00ED771B"/>
    <w:rsid w:val="00EE0908"/>
    <w:rsid w:val="00EE32F1"/>
    <w:rsid w:val="00EE6220"/>
    <w:rsid w:val="00EF0952"/>
    <w:rsid w:val="00EF5733"/>
    <w:rsid w:val="00EF7831"/>
    <w:rsid w:val="00EF7E4D"/>
    <w:rsid w:val="00F02804"/>
    <w:rsid w:val="00F02DB0"/>
    <w:rsid w:val="00F03965"/>
    <w:rsid w:val="00F0412D"/>
    <w:rsid w:val="00F05701"/>
    <w:rsid w:val="00F06154"/>
    <w:rsid w:val="00F11C95"/>
    <w:rsid w:val="00F13052"/>
    <w:rsid w:val="00F15198"/>
    <w:rsid w:val="00F20B3C"/>
    <w:rsid w:val="00F20BCD"/>
    <w:rsid w:val="00F21022"/>
    <w:rsid w:val="00F216E1"/>
    <w:rsid w:val="00F23CF1"/>
    <w:rsid w:val="00F24565"/>
    <w:rsid w:val="00F27170"/>
    <w:rsid w:val="00F32D43"/>
    <w:rsid w:val="00F40864"/>
    <w:rsid w:val="00F418D6"/>
    <w:rsid w:val="00F43305"/>
    <w:rsid w:val="00F442D9"/>
    <w:rsid w:val="00F449BF"/>
    <w:rsid w:val="00F44F48"/>
    <w:rsid w:val="00F45197"/>
    <w:rsid w:val="00F5235D"/>
    <w:rsid w:val="00F525AF"/>
    <w:rsid w:val="00F5508A"/>
    <w:rsid w:val="00F55255"/>
    <w:rsid w:val="00F5737C"/>
    <w:rsid w:val="00F57888"/>
    <w:rsid w:val="00F61C0D"/>
    <w:rsid w:val="00F657B1"/>
    <w:rsid w:val="00F65EE4"/>
    <w:rsid w:val="00F66BA7"/>
    <w:rsid w:val="00F67295"/>
    <w:rsid w:val="00F67D4B"/>
    <w:rsid w:val="00F70400"/>
    <w:rsid w:val="00F72741"/>
    <w:rsid w:val="00F7501E"/>
    <w:rsid w:val="00F75C82"/>
    <w:rsid w:val="00F77326"/>
    <w:rsid w:val="00F77862"/>
    <w:rsid w:val="00F80533"/>
    <w:rsid w:val="00F8199D"/>
    <w:rsid w:val="00F81C49"/>
    <w:rsid w:val="00F8210B"/>
    <w:rsid w:val="00F835F7"/>
    <w:rsid w:val="00F83827"/>
    <w:rsid w:val="00F83B3C"/>
    <w:rsid w:val="00F845CE"/>
    <w:rsid w:val="00F9127D"/>
    <w:rsid w:val="00F91C96"/>
    <w:rsid w:val="00F92608"/>
    <w:rsid w:val="00F92BFA"/>
    <w:rsid w:val="00F9300A"/>
    <w:rsid w:val="00F93C79"/>
    <w:rsid w:val="00F97405"/>
    <w:rsid w:val="00FA11B2"/>
    <w:rsid w:val="00FA1D33"/>
    <w:rsid w:val="00FA2706"/>
    <w:rsid w:val="00FA3E74"/>
    <w:rsid w:val="00FA4031"/>
    <w:rsid w:val="00FA41ED"/>
    <w:rsid w:val="00FA5F24"/>
    <w:rsid w:val="00FA611E"/>
    <w:rsid w:val="00FA64A0"/>
    <w:rsid w:val="00FB1F69"/>
    <w:rsid w:val="00FB25E9"/>
    <w:rsid w:val="00FB6A06"/>
    <w:rsid w:val="00FB76E7"/>
    <w:rsid w:val="00FC2F8B"/>
    <w:rsid w:val="00FC308C"/>
    <w:rsid w:val="00FC3795"/>
    <w:rsid w:val="00FC6BEC"/>
    <w:rsid w:val="00FD12F1"/>
    <w:rsid w:val="00FD2628"/>
    <w:rsid w:val="00FD28A6"/>
    <w:rsid w:val="00FD2952"/>
    <w:rsid w:val="00FD2AD5"/>
    <w:rsid w:val="00FD3BF8"/>
    <w:rsid w:val="00FD3CB2"/>
    <w:rsid w:val="00FD4918"/>
    <w:rsid w:val="00FD5E83"/>
    <w:rsid w:val="00FE1657"/>
    <w:rsid w:val="00FE22BB"/>
    <w:rsid w:val="00FE3268"/>
    <w:rsid w:val="00FE396B"/>
    <w:rsid w:val="00FE44AD"/>
    <w:rsid w:val="00FE4D25"/>
    <w:rsid w:val="00FE6C04"/>
    <w:rsid w:val="00FE7673"/>
    <w:rsid w:val="00FF0B53"/>
    <w:rsid w:val="00FF3AD5"/>
    <w:rsid w:val="00FF3ADB"/>
    <w:rsid w:val="00FF405C"/>
    <w:rsid w:val="00FF4C07"/>
    <w:rsid w:val="00FF4D3D"/>
    <w:rsid w:val="00FF570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695D56"/>
  <w15:docId w15:val="{30124EEA-7915-422E-8E3C-0A463F0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PMingLiU" w:ascii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6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1"/>
    <w:rsid w:val="00492477"/>
    <w:pPr>
      <w:spacing w:after="0" w:line="240" w:lineRule="auto"/>
    </w:pPr>
    <w:rPr>
      <w:rFonts w:eastAsiaTheme="minorEastAsia"/>
      <w:szCs w:val="28"/>
      <w:lang w:val="en-GB"/>
    </w:rPr>
  </w:style>
  <w:style w:type="paragraph" w:styleId="Heading1">
    <w:name w:val="heading 1"/>
    <w:basedOn w:val="Normal"/>
    <w:next w:val="BodyText"/>
    <w:qFormat/>
    <w:rsid w:val="005E2CEF"/>
    <w:pPr>
      <w:keepNext/>
      <w:numPr>
        <w:numId w:val="32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5E2CEF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qFormat/>
    <w:rsid w:val="005E2CEF"/>
    <w:pPr>
      <w:numPr>
        <w:ilvl w:val="2"/>
        <w:numId w:val="3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5E2CEF"/>
    <w:pPr>
      <w:numPr>
        <w:ilvl w:val="3"/>
        <w:numId w:val="3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5E2CEF"/>
    <w:pPr>
      <w:numPr>
        <w:ilvl w:val="4"/>
        <w:numId w:val="3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5E2CEF"/>
    <w:pPr>
      <w:numPr>
        <w:ilvl w:val="5"/>
        <w:numId w:val="3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492477"/>
    <w:pPr>
      <w:numPr>
        <w:ilvl w:val="6"/>
        <w:numId w:val="32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80006"/>
    <w:pPr>
      <w:spacing w:after="180"/>
      <w:jc w:val="both"/>
      <w:outlineLvl w:val="7"/>
    </w:pPr>
    <w:rPr>
      <w:rFonts w:ascii="Times New Roman" w:hAnsi="Times New Roman" w:eastAsia="MS Mincho" w:cs="Times New Roman"/>
      <w:color w:val="5F5F5F" w:themeColor="text1"/>
      <w:szCs w:val="22"/>
      <w:lang w:eastAsia="en-US"/>
    </w:rPr>
  </w:style>
  <w:style w:type="paragraph" w:styleId="Heading9">
    <w:name w:val="heading 9"/>
    <w:basedOn w:val="Normal"/>
    <w:next w:val="wText"/>
    <w:link w:val="Heading9Char"/>
    <w:qFormat/>
    <w:rsid w:val="00480006"/>
    <w:pPr>
      <w:spacing w:after="180"/>
      <w:jc w:val="both"/>
      <w:outlineLvl w:val="8"/>
    </w:pPr>
    <w:rPr>
      <w:rFonts w:ascii="Times New Roman" w:hAnsi="Times New Roman" w:eastAsia="MS Mincho" w:cs="Times New Roman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MKAddressInfo" w:customStyle="1">
    <w:name w:val="BMK Address Info"/>
    <w:link w:val="BMKAddressInfoChar"/>
    <w:semiHidden/>
    <w:rsid w:val="005B597D"/>
    <w:pPr>
      <w:spacing w:after="0" w:line="240" w:lineRule="auto"/>
    </w:pPr>
    <w:rPr>
      <w:bCs/>
      <w:noProof/>
      <w:sz w:val="16"/>
    </w:rPr>
  </w:style>
  <w:style w:type="paragraph" w:styleId="BMKCities" w:customStyle="1">
    <w:name w:val="BMK Cities"/>
    <w:semiHidden/>
    <w:rsid w:val="007069B5"/>
    <w:pPr>
      <w:spacing w:before="30"/>
    </w:pPr>
    <w:rPr>
      <w:noProof/>
      <w:spacing w:val="2"/>
      <w:sz w:val="11"/>
      <w:szCs w:val="11"/>
    </w:rPr>
  </w:style>
  <w:style w:type="paragraph" w:styleId="BMKDeliveryPhrase" w:customStyle="1">
    <w:name w:val="BMK Delivery Phrase"/>
    <w:basedOn w:val="BMKAddressInfo"/>
    <w:semiHidden/>
    <w:rsid w:val="00746D76"/>
    <w:pPr>
      <w:framePr w:w="2943" w:h="1734" w:wrap="around" w:hAnchor="page" w:vAnchor="text" w:x="8533" w:y="208" w:hRule="exact"/>
      <w:ind w:left="57"/>
    </w:pPr>
    <w:rPr>
      <w:b/>
    </w:rPr>
  </w:style>
  <w:style w:type="paragraph" w:styleId="BMKLegalNoticePhrase" w:customStyle="1">
    <w:name w:val="BMK Legal Notice Phrase"/>
    <w:basedOn w:val="Normal"/>
    <w:semiHidden/>
    <w:rsid w:val="007069B5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5B597D"/>
    <w:rPr>
      <w:b/>
    </w:rPr>
  </w:style>
  <w:style w:type="paragraph" w:styleId="BMKRegions" w:customStyle="1">
    <w:name w:val="BMK Regions"/>
    <w:basedOn w:val="BMKCities"/>
    <w:next w:val="BMKCities"/>
    <w:semiHidden/>
    <w:rsid w:val="00746D76"/>
    <w:pPr>
      <w:spacing w:before="0"/>
    </w:pPr>
    <w:rPr>
      <w:rFonts w:ascii="Arial Black" w:hAnsi="Arial Black"/>
      <w:szCs w:val="24"/>
    </w:rPr>
  </w:style>
  <w:style w:type="paragraph" w:styleId="BMKMultiOffice" w:customStyle="1">
    <w:name w:val="BMK Multi Office"/>
    <w:basedOn w:val="BMKRegions"/>
    <w:next w:val="Normal"/>
    <w:semiHidden/>
    <w:rsid w:val="00746D76"/>
  </w:style>
  <w:style w:type="paragraph" w:styleId="BMKMultiOfficeAddress" w:customStyle="1">
    <w:name w:val="BMK Multi Office Address"/>
    <w:basedOn w:val="BMKCities"/>
    <w:semiHidden/>
    <w:rsid w:val="00746D76"/>
  </w:style>
  <w:style w:type="paragraph" w:styleId="BMKPartnerList" w:customStyle="1">
    <w:name w:val="BMK Partner List"/>
    <w:basedOn w:val="BMKCities"/>
    <w:semiHidden/>
    <w:rsid w:val="00746D76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Qualifier" w:customStyle="1">
    <w:name w:val="BMK Qualifier"/>
    <w:semiHidden/>
    <w:rsid w:val="007069B5"/>
    <w:pPr>
      <w:spacing w:line="170" w:lineRule="atLeast"/>
    </w:pPr>
    <w:rPr>
      <w:caps/>
      <w:noProof/>
      <w:sz w:val="13"/>
      <w:szCs w:val="13"/>
    </w:rPr>
  </w:style>
  <w:style w:type="paragraph" w:styleId="BMKRefInfo" w:customStyle="1">
    <w:name w:val="BMK Ref Info"/>
    <w:basedOn w:val="BMKAddressInfo"/>
    <w:semiHidden/>
    <w:rsid w:val="00746D76"/>
    <w:pPr>
      <w:framePr w:w="2943" w:h="1734" w:wrap="around" w:hAnchor="page" w:vAnchor="text" w:x="8533" w:y="208" w:hRule="exact"/>
      <w:ind w:left="57"/>
    </w:pPr>
  </w:style>
  <w:style w:type="paragraph" w:styleId="BMKRecipient1" w:customStyle="1">
    <w:name w:val="BMK Recipient1"/>
    <w:basedOn w:val="Normal"/>
    <w:semiHidden/>
    <w:rsid w:val="00746D76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F80533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746D7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6D76"/>
  </w:style>
  <w:style w:type="paragraph" w:styleId="ListNumber">
    <w:name w:val="List Number"/>
    <w:basedOn w:val="Normal"/>
    <w:uiPriority w:val="7"/>
    <w:qFormat/>
    <w:rsid w:val="0029373F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746D76"/>
    <w:rPr>
      <w:sz w:val="18"/>
      <w:szCs w:val="20"/>
    </w:rPr>
  </w:style>
  <w:style w:type="paragraph" w:styleId="Bullet1" w:customStyle="1">
    <w:name w:val="Bullet 1"/>
    <w:basedOn w:val="Normal"/>
    <w:uiPriority w:val="8"/>
    <w:qFormat/>
    <w:rsid w:val="0029373F"/>
    <w:pPr>
      <w:numPr>
        <w:numId w:val="1"/>
      </w:numPr>
      <w:spacing w:after="180" w:line="260" w:lineRule="atLeast"/>
    </w:pPr>
  </w:style>
  <w:style w:type="paragraph" w:styleId="BMKSubject" w:customStyle="1">
    <w:name w:val="BMK Subject"/>
    <w:basedOn w:val="Normal"/>
    <w:semiHidden/>
    <w:rsid w:val="007069B5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character" w:styleId="BMKAddressInfoChar" w:customStyle="1">
    <w:name w:val="BMK Address Info Char"/>
    <w:link w:val="BMKAddressInfo"/>
    <w:semiHidden/>
    <w:rsid w:val="005B597D"/>
    <w:rPr>
      <w:bCs/>
      <w:noProof/>
      <w:sz w:val="16"/>
    </w:rPr>
  </w:style>
  <w:style w:type="paragraph" w:styleId="BMKPrivacyText" w:customStyle="1">
    <w:name w:val="BMK Privacy Text"/>
    <w:basedOn w:val="Footer"/>
    <w:link w:val="BMKPrivacyTextChar"/>
    <w:semiHidden/>
    <w:rsid w:val="007069B5"/>
  </w:style>
  <w:style w:type="paragraph" w:styleId="OtherContact" w:customStyle="1">
    <w:name w:val="OtherContact"/>
    <w:basedOn w:val="Normal"/>
    <w:semiHidden/>
    <w:rsid w:val="007069B5"/>
    <w:rPr>
      <w:rFonts w:asciiTheme="majorHAnsi" w:hAnsiTheme="majorHAnsi" w:eastAsiaTheme="majorEastAsia" w:cstheme="majorHAnsi"/>
      <w:sz w:val="16"/>
    </w:rPr>
  </w:style>
  <w:style w:type="paragraph" w:styleId="Bullet2" w:customStyle="1">
    <w:name w:val="Bullet 2"/>
    <w:basedOn w:val="Normal"/>
    <w:uiPriority w:val="8"/>
    <w:qFormat/>
    <w:rsid w:val="0029373F"/>
    <w:pPr>
      <w:numPr>
        <w:numId w:val="2"/>
      </w:numPr>
      <w:spacing w:line="260" w:lineRule="atLeast"/>
    </w:pPr>
  </w:style>
  <w:style w:type="character" w:styleId="Definition" w:customStyle="1">
    <w:name w:val="Definition"/>
    <w:basedOn w:val="DefaultParagraphFont"/>
    <w:uiPriority w:val="3"/>
    <w:rsid w:val="00F92608"/>
    <w:rPr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A15C20"/>
    <w:rPr>
      <w:szCs w:val="16"/>
    </w:rPr>
  </w:style>
  <w:style w:type="paragraph" w:styleId="LetterDetail" w:customStyle="1">
    <w:name w:val="LetterDetail"/>
    <w:basedOn w:val="Normal"/>
    <w:semiHidden/>
    <w:rsid w:val="00746D76"/>
    <w:pPr>
      <w:spacing w:line="260" w:lineRule="atLeast"/>
    </w:pPr>
  </w:style>
  <w:style w:type="paragraph" w:styleId="BMKLetterCaption" w:customStyle="1">
    <w:name w:val="BMK LetterCaption"/>
    <w:basedOn w:val="BMKLegalNoticePhrase"/>
    <w:next w:val="NormalSingle"/>
    <w:semiHidden/>
    <w:rsid w:val="00746D76"/>
    <w:pPr>
      <w:spacing w:before="0"/>
    </w:pPr>
  </w:style>
  <w:style w:type="paragraph" w:styleId="BMKco-brand" w:customStyle="1">
    <w:name w:val="BMK co-brand"/>
    <w:semiHidden/>
    <w:rsid w:val="007069B5"/>
    <w:pPr>
      <w:spacing w:line="170" w:lineRule="atLeast"/>
    </w:pPr>
    <w:rPr>
      <w:caps/>
      <w:sz w:val="13"/>
    </w:rPr>
  </w:style>
  <w:style w:type="character" w:styleId="Highlight" w:customStyle="1">
    <w:name w:val="Highlight"/>
    <w:semiHidden/>
    <w:rsid w:val="007069B5"/>
    <w:rPr>
      <w:rFonts w:asciiTheme="majorHAnsi" w:hAnsiTheme="majorHAnsi" w:eastAsiaTheme="majorEastAsia" w:cstheme="majorHAnsi"/>
      <w:b/>
    </w:rPr>
  </w:style>
  <w:style w:type="paragraph" w:styleId="TableText" w:customStyle="1">
    <w:name w:val="Table Text"/>
    <w:basedOn w:val="Normal"/>
    <w:uiPriority w:val="6"/>
    <w:semiHidden/>
    <w:rsid w:val="00746D76"/>
    <w:pPr>
      <w:tabs>
        <w:tab w:val="right" w:pos="9072"/>
      </w:tabs>
      <w:spacing w:after="180" w:line="260" w:lineRule="atLeast"/>
    </w:pPr>
  </w:style>
  <w:style w:type="paragraph" w:styleId="TableHeading" w:customStyle="1">
    <w:name w:val="Table Heading"/>
    <w:basedOn w:val="Normal"/>
    <w:next w:val="Normal"/>
    <w:uiPriority w:val="8"/>
    <w:semiHidden/>
    <w:rsid w:val="00BD2EC3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29373F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29373F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29373F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basedOn w:val="Normal"/>
    <w:link w:val="BodyTextChar"/>
    <w:qFormat/>
    <w:rsid w:val="00190E5F"/>
    <w:pPr>
      <w:spacing w:after="180" w:line="260" w:lineRule="atLeast"/>
    </w:pPr>
    <w:rPr>
      <w:color w:val="000000" w:themeColor="text2"/>
    </w:rPr>
  </w:style>
  <w:style w:type="paragraph" w:styleId="NormalSingle" w:customStyle="1">
    <w:name w:val="Normal Single"/>
    <w:basedOn w:val="Normal"/>
    <w:uiPriority w:val="6"/>
    <w:semiHidden/>
    <w:rsid w:val="00746D76"/>
    <w:pPr>
      <w:spacing w:line="0" w:lineRule="atLeast"/>
    </w:pPr>
  </w:style>
  <w:style w:type="character" w:styleId="Emphasis">
    <w:name w:val="Emphasis"/>
    <w:semiHidden/>
    <w:rsid w:val="00746D76"/>
    <w:rPr>
      <w:i/>
      <w:iCs/>
    </w:rPr>
  </w:style>
  <w:style w:type="character" w:styleId="BMKMemberFirmNameChar" w:customStyle="1">
    <w:name w:val="BMK Member Firm Name Char"/>
    <w:link w:val="BMKMemberFirmName"/>
    <w:semiHidden/>
    <w:rsid w:val="005B597D"/>
    <w:rPr>
      <w:rFonts w:ascii="Arial" w:hAnsi="Arial" w:cs="Times New Roman" w:eastAsiaTheme="minorEastAsia"/>
      <w:b/>
      <w:bCs/>
      <w:noProof/>
      <w:sz w:val="16"/>
    </w:rPr>
  </w:style>
  <w:style w:type="paragraph" w:styleId="BMKDocumentNameHK" w:customStyle="1">
    <w:name w:val="BMK Document Name HK"/>
    <w:basedOn w:val="Normal"/>
    <w:next w:val="BMKMemberFirmName"/>
    <w:semiHidden/>
    <w:rsid w:val="007069B5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</w:rPr>
  </w:style>
  <w:style w:type="paragraph" w:styleId="NormalWeb">
    <w:name w:val="Normal (Web)"/>
    <w:basedOn w:val="Normal"/>
    <w:uiPriority w:val="99"/>
    <w:semiHidden/>
    <w:rsid w:val="007069B5"/>
    <w:rPr>
      <w:sz w:val="24"/>
      <w:szCs w:val="24"/>
    </w:rPr>
  </w:style>
  <w:style w:type="character" w:styleId="FooterChar" w:customStyle="1">
    <w:name w:val="Footer Char"/>
    <w:link w:val="Footer"/>
    <w:uiPriority w:val="99"/>
    <w:rsid w:val="00F80533"/>
    <w:rPr>
      <w:rFonts w:asciiTheme="majorHAnsi" w:hAnsiTheme="majorHAnsi" w:eastAsiaTheme="majorEastAsia" w:cstheme="majorHAnsi"/>
      <w:noProof/>
      <w:sz w:val="16"/>
    </w:rPr>
  </w:style>
  <w:style w:type="paragraph" w:styleId="BMKDocumentName" w:customStyle="1">
    <w:name w:val="BMK Document Name"/>
    <w:basedOn w:val="Normal"/>
    <w:next w:val="Normal"/>
    <w:semiHidden/>
    <w:rsid w:val="00282861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HeaderLogoSHI" w:customStyle="1">
    <w:name w:val="BMKHeaderLogoSHI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styleId="BMKPrivacyTitle" w:customStyle="1">
    <w:name w:val="BMK Privacy Title"/>
    <w:basedOn w:val="Normal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styleId="BMKPrivacyTextChar" w:customStyle="1">
    <w:name w:val="BMK Privacy Text Char"/>
    <w:link w:val="BMKPrivacyText"/>
    <w:semiHidden/>
    <w:rsid w:val="007069B5"/>
    <w:rPr>
      <w:rFonts w:asciiTheme="majorHAnsi" w:hAnsiTheme="majorHAnsi" w:eastAsiaTheme="majorEastAsia" w:cstheme="majorHAnsi"/>
      <w:noProof/>
      <w:sz w:val="16"/>
      <w:szCs w:val="22"/>
    </w:rPr>
  </w:style>
  <w:style w:type="paragraph" w:styleId="BodyTextFirstIndent">
    <w:name w:val="Body Text First Indent"/>
    <w:basedOn w:val="BodyText"/>
    <w:uiPriority w:val="6"/>
    <w:semiHidden/>
    <w:rsid w:val="00746D76"/>
    <w:pPr>
      <w:spacing w:after="120" w:line="240" w:lineRule="auto"/>
      <w:ind w:firstLine="210"/>
    </w:pPr>
  </w:style>
  <w:style w:type="paragraph" w:styleId="FooterIndent" w:customStyle="1">
    <w:name w:val="Footer Indent"/>
    <w:basedOn w:val="Footer"/>
    <w:semiHidden/>
    <w:rsid w:val="00746D76"/>
    <w:pPr>
      <w:ind w:left="1208"/>
    </w:pPr>
  </w:style>
  <w:style w:type="paragraph" w:styleId="BMKCitiesSpace" w:customStyle="1">
    <w:name w:val="BMK Cities Space"/>
    <w:basedOn w:val="BMKCities"/>
    <w:semiHidden/>
    <w:rsid w:val="00746D76"/>
    <w:pPr>
      <w:spacing w:before="0"/>
    </w:pPr>
  </w:style>
  <w:style w:type="character" w:styleId="Hyperlink">
    <w:name w:val="Hyperlink"/>
    <w:uiPriority w:val="99"/>
    <w:rsid w:val="00746D76"/>
    <w:rPr>
      <w:color w:val="0000FF"/>
      <w:u w:val="single"/>
    </w:rPr>
  </w:style>
  <w:style w:type="paragraph" w:styleId="BMKSalutation" w:customStyle="1">
    <w:name w:val="BMK Salutation"/>
    <w:basedOn w:val="Normal"/>
    <w:semiHidden/>
    <w:rsid w:val="00746D76"/>
    <w:pPr>
      <w:spacing w:line="260" w:lineRule="atLeast"/>
    </w:pPr>
  </w:style>
  <w:style w:type="paragraph" w:styleId="BMKDate" w:customStyle="1">
    <w:name w:val="BMKDate"/>
    <w:basedOn w:val="Normal"/>
    <w:semiHidden/>
    <w:rsid w:val="00746D76"/>
    <w:pPr>
      <w:spacing w:line="260" w:lineRule="atLeast"/>
    </w:pPr>
  </w:style>
  <w:style w:type="paragraph" w:styleId="BMKAddress1" w:customStyle="1">
    <w:name w:val="BMK Address1"/>
    <w:basedOn w:val="Normal"/>
    <w:semiHidden/>
    <w:rsid w:val="00746D76"/>
    <w:pPr>
      <w:spacing w:line="260" w:lineRule="atLeast"/>
    </w:pPr>
  </w:style>
  <w:style w:type="paragraph" w:styleId="BMKAttention" w:customStyle="1">
    <w:name w:val="BMK Attention"/>
    <w:basedOn w:val="Normal"/>
    <w:semiHidden/>
    <w:rsid w:val="00746D76"/>
    <w:pPr>
      <w:spacing w:line="260" w:lineRule="atLeast"/>
    </w:pPr>
  </w:style>
  <w:style w:type="paragraph" w:styleId="BMKSubtitle" w:customStyle="1">
    <w:name w:val="BMK Sub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MKTitle" w:customStyle="1">
    <w:name w:val="BMK 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746D76"/>
    <w:rPr>
      <w:b/>
      <w:bCs/>
      <w:smallCaps/>
      <w:spacing w:val="5"/>
    </w:rPr>
  </w:style>
  <w:style w:type="character" w:styleId="Strong">
    <w:name w:val="Strong"/>
    <w:basedOn w:val="DefaultParagraphFont"/>
    <w:semiHidden/>
    <w:rsid w:val="00746D76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746D76"/>
    <w:rPr>
      <w:i/>
      <w:iCs/>
      <w:color w:val="AFAFAF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746D76"/>
    <w:rPr>
      <w:smallCaps/>
      <w:color w:val="EBB700" w:themeColor="accent2"/>
      <w:u w:val="single"/>
    </w:rPr>
  </w:style>
  <w:style w:type="paragraph" w:styleId="NoSpacing">
    <w:name w:val="No Spacing"/>
    <w:uiPriority w:val="6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IntenseEmphasis">
    <w:name w:val="Intense Emphasis"/>
    <w:basedOn w:val="DefaultParagraphFont"/>
    <w:uiPriority w:val="21"/>
    <w:semiHidden/>
    <w:rsid w:val="00746D76"/>
    <w:rPr>
      <w:b/>
      <w:bCs/>
      <w:i/>
      <w:iCs/>
      <w:color w:val="A7193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6D76"/>
    <w:pPr>
      <w:pBdr>
        <w:bottom w:val="single" w:color="A71930" w:themeColor="accent1" w:sz="4" w:space="4"/>
      </w:pBdr>
      <w:spacing w:before="200" w:after="280"/>
      <w:ind w:left="936" w:right="936"/>
    </w:pPr>
    <w:rPr>
      <w:b/>
      <w:bCs/>
      <w:i/>
      <w:iCs/>
      <w:color w:val="A7193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46D76"/>
    <w:rPr>
      <w:b/>
      <w:bCs/>
      <w:i/>
      <w:iCs/>
      <w:color w:val="A71930" w:themeColor="accent1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746D76"/>
    <w:rPr>
      <w:i/>
      <w:iCs/>
      <w:color w:val="5F5F5F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46D76"/>
    <w:rPr>
      <w:i/>
      <w:iCs/>
      <w:color w:val="5F5F5F" w:themeColor="tex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rsid w:val="00746D76"/>
    <w:rPr>
      <w:b/>
      <w:bCs/>
      <w:smallCaps/>
      <w:color w:val="EBB700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746D76"/>
    <w:pPr>
      <w:ind w:left="720"/>
      <w:contextualSpacing/>
    </w:pPr>
  </w:style>
  <w:style w:type="paragraph" w:styleId="SubHeading" w:customStyle="1">
    <w:name w:val="Sub Heading"/>
    <w:basedOn w:val="Normal"/>
    <w:next w:val="BodyText"/>
    <w:rsid w:val="00207040"/>
    <w:pPr>
      <w:keepNext/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Da" w:customStyle="1">
    <w:name w:val="D(a)"/>
    <w:basedOn w:val="Normal"/>
    <w:uiPriority w:val="4"/>
    <w:rsid w:val="0029373F"/>
    <w:pPr>
      <w:numPr>
        <w:ilvl w:val="1"/>
        <w:numId w:val="6"/>
      </w:numPr>
      <w:spacing w:after="180" w:line="260" w:lineRule="atLeast"/>
    </w:pPr>
  </w:style>
  <w:style w:type="paragraph" w:styleId="DA0" w:customStyle="1">
    <w:name w:val="D(A)"/>
    <w:basedOn w:val="Normal"/>
    <w:uiPriority w:val="6"/>
    <w:rsid w:val="0029373F"/>
    <w:pPr>
      <w:numPr>
        <w:ilvl w:val="3"/>
        <w:numId w:val="6"/>
      </w:numPr>
      <w:spacing w:after="180" w:line="260" w:lineRule="atLeast"/>
    </w:pPr>
  </w:style>
  <w:style w:type="paragraph" w:styleId="Di" w:customStyle="1">
    <w:name w:val="D(i)"/>
    <w:basedOn w:val="Normal"/>
    <w:uiPriority w:val="5"/>
    <w:rsid w:val="0029373F"/>
    <w:pPr>
      <w:numPr>
        <w:ilvl w:val="2"/>
        <w:numId w:val="6"/>
      </w:numPr>
      <w:spacing w:after="180" w:line="260" w:lineRule="atLeast"/>
    </w:pPr>
  </w:style>
  <w:style w:type="paragraph" w:styleId="DefinitionParagraph" w:customStyle="1">
    <w:name w:val="Definition Paragraph"/>
    <w:basedOn w:val="Normal"/>
    <w:uiPriority w:val="2"/>
    <w:rsid w:val="0029373F"/>
    <w:pPr>
      <w:numPr>
        <w:numId w:val="6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E05F0"/>
    <w:pPr>
      <w:keepNext/>
      <w:numPr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E05F0"/>
    <w:pPr>
      <w:keepNext/>
      <w:numPr>
        <w:ilvl w:val="1"/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E05F0"/>
    <w:pPr>
      <w:numPr>
        <w:ilvl w:val="2"/>
        <w:numId w:val="33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E05F0"/>
    <w:pPr>
      <w:numPr>
        <w:ilvl w:val="3"/>
        <w:numId w:val="33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E05F0"/>
    <w:pPr>
      <w:numPr>
        <w:ilvl w:val="4"/>
        <w:numId w:val="33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E05F0"/>
    <w:pPr>
      <w:numPr>
        <w:ilvl w:val="5"/>
        <w:numId w:val="33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29373F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1">
    <w:name w:val="toc 1"/>
    <w:basedOn w:val="Normal"/>
    <w:next w:val="Normal"/>
    <w:autoRedefine/>
    <w:uiPriority w:val="39"/>
    <w:semiHidden/>
    <w:rsid w:val="004B3B00"/>
    <w:pPr>
      <w:spacing w:before="180" w:line="260" w:lineRule="atLeast"/>
      <w:ind w:left="562" w:right="288" w:hanging="562"/>
    </w:pPr>
    <w:rPr>
      <w:rFonts w:asciiTheme="majorHAnsi" w:hAnsiTheme="majorHAnsi" w:eastAsiaTheme="majorEastAsia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4B3B00"/>
    <w:pPr>
      <w:spacing w:before="180" w:line="260" w:lineRule="atLeast"/>
      <w:ind w:left="1124" w:right="288" w:hanging="562"/>
    </w:pPr>
    <w:rPr>
      <w:rFonts w:asciiTheme="majorHAnsi" w:hAnsiTheme="majorHAnsi" w:eastAsiaTheme="majorEastAsia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4B3B00"/>
    <w:pPr>
      <w:spacing w:before="180" w:line="260" w:lineRule="atLeast"/>
      <w:ind w:left="1700" w:right="288" w:hanging="562"/>
    </w:pPr>
    <w:rPr>
      <w:rFonts w:asciiTheme="majorHAnsi" w:hAnsiTheme="majorHAnsi" w:eastAsiaTheme="majorEastAsia" w:cstheme="majorHAnsi"/>
      <w:b/>
    </w:rPr>
  </w:style>
  <w:style w:type="paragraph" w:styleId="TOC4">
    <w:name w:val="toc 4"/>
    <w:basedOn w:val="Normal"/>
    <w:next w:val="Normal"/>
    <w:autoRedefine/>
    <w:semiHidden/>
    <w:rsid w:val="007069B5"/>
    <w:pPr>
      <w:spacing w:line="260" w:lineRule="atLeast"/>
      <w:ind w:left="1418"/>
    </w:pPr>
    <w:rPr>
      <w:rFonts w:asciiTheme="majorHAnsi" w:hAnsiTheme="majorHAnsi" w:eastAsiaTheme="majorEastAsia" w:cstheme="majorHAnsi"/>
      <w:szCs w:val="20"/>
    </w:rPr>
  </w:style>
  <w:style w:type="numbering" w:styleId="BMHeadings" w:customStyle="1">
    <w:name w:val="B&amp;M Headings"/>
    <w:uiPriority w:val="99"/>
    <w:rsid w:val="005E2CEF"/>
    <w:pPr>
      <w:numPr>
        <w:numId w:val="3"/>
      </w:numPr>
    </w:pPr>
  </w:style>
  <w:style w:type="numbering" w:styleId="BMListNumbers" w:customStyle="1">
    <w:name w:val="B&amp;M List Numbers"/>
    <w:uiPriority w:val="99"/>
    <w:rsid w:val="00746D76"/>
    <w:pPr>
      <w:numPr>
        <w:numId w:val="4"/>
      </w:numPr>
    </w:pPr>
  </w:style>
  <w:style w:type="numbering" w:styleId="BMSchedules" w:customStyle="1">
    <w:name w:val="B&amp;M Schedules"/>
    <w:uiPriority w:val="99"/>
    <w:rsid w:val="00CE05F0"/>
    <w:pPr>
      <w:numPr>
        <w:numId w:val="5"/>
      </w:numPr>
    </w:pPr>
  </w:style>
  <w:style w:type="numbering" w:styleId="BMDefinitions" w:customStyle="1">
    <w:name w:val="B&amp;M Definitions"/>
    <w:uiPriority w:val="99"/>
    <w:rsid w:val="00746D76"/>
    <w:pPr>
      <w:numPr>
        <w:numId w:val="6"/>
      </w:numPr>
    </w:pPr>
  </w:style>
  <w:style w:type="paragraph" w:styleId="TOCHeading" w:customStyle="1">
    <w:name w:val="TOCHeading"/>
    <w:basedOn w:val="Normal"/>
    <w:next w:val="BodyText"/>
    <w:uiPriority w:val="11"/>
    <w:semiHidden/>
    <w:rsid w:val="00BB0659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746D76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746D76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746D76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746D76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746D76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492477"/>
    <w:rPr>
      <w:rFonts w:eastAsiaTheme="minorEastAsia"/>
      <w:szCs w:val="28"/>
    </w:rPr>
  </w:style>
  <w:style w:type="paragraph" w:styleId="Recital" w:customStyle="1">
    <w:name w:val="Recital"/>
    <w:basedOn w:val="Normal"/>
    <w:uiPriority w:val="7"/>
    <w:rsid w:val="0029373F"/>
    <w:pPr>
      <w:numPr>
        <w:numId w:val="30"/>
      </w:numPr>
      <w:spacing w:after="180" w:line="260" w:lineRule="atLeast"/>
    </w:pPr>
    <w:rPr>
      <w:rFonts w:cs="Times New Roman"/>
    </w:rPr>
  </w:style>
  <w:style w:type="character" w:styleId="DMReference" w:customStyle="1">
    <w:name w:val="DMReference"/>
    <w:basedOn w:val="FooterChar"/>
    <w:semiHidden/>
    <w:rsid w:val="00CD2966"/>
    <w:rPr>
      <w:rFonts w:asciiTheme="majorHAnsi" w:hAnsiTheme="majorHAnsi" w:eastAsiaTheme="majorEastAsia" w:cstheme="majorHAnsi"/>
      <w:noProof/>
      <w:sz w:val="16"/>
      <w:szCs w:val="16"/>
    </w:rPr>
  </w:style>
  <w:style w:type="paragraph" w:styleId="BodyTextIndent">
    <w:name w:val="Body Text Indent"/>
    <w:basedOn w:val="Normal"/>
    <w:link w:val="BodyTextIndentChar"/>
    <w:rsid w:val="00DE2488"/>
    <w:pPr>
      <w:spacing w:after="180" w:line="260" w:lineRule="exact"/>
      <w:ind w:left="709"/>
    </w:pPr>
  </w:style>
  <w:style w:type="character" w:styleId="BodyTextIndentChar" w:customStyle="1">
    <w:name w:val="Body Text Indent Char"/>
    <w:basedOn w:val="DefaultParagraphFont"/>
    <w:link w:val="BodyTextIndent"/>
    <w:rsid w:val="00DE2488"/>
    <w:rPr>
      <w:rFonts w:eastAsiaTheme="minorEastAsia"/>
      <w:szCs w:val="28"/>
    </w:rPr>
  </w:style>
  <w:style w:type="paragraph" w:styleId="BodyTextIndent4" w:customStyle="1">
    <w:name w:val="Body Text Indent 4"/>
    <w:basedOn w:val="BodyTextIndent"/>
    <w:qFormat/>
    <w:rsid w:val="00DE2488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styleId="BodyTextIndent5" w:customStyle="1">
    <w:name w:val="Body Text Indent 5"/>
    <w:basedOn w:val="BodyTextIndent4"/>
    <w:qFormat/>
    <w:rsid w:val="00DE2488"/>
    <w:pPr>
      <w:numPr>
        <w:ilvl w:val="3"/>
      </w:numPr>
      <w:ind w:left="2126"/>
    </w:pPr>
  </w:style>
  <w:style w:type="paragraph" w:styleId="BodyTextIndent6" w:customStyle="1">
    <w:name w:val="Body Text Indent 6"/>
    <w:basedOn w:val="BodyTextIndent5"/>
    <w:qFormat/>
    <w:rsid w:val="00DE2488"/>
    <w:pPr>
      <w:numPr>
        <w:ilvl w:val="4"/>
      </w:numPr>
      <w:ind w:left="2835"/>
    </w:pPr>
  </w:style>
  <w:style w:type="table" w:styleId="TableHorizontalShadedBlue" w:customStyle="1">
    <w:name w:val="Table Horizontal Shaded Blue"/>
    <w:basedOn w:val="TableNormal"/>
    <w:rsid w:val="00002665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Ind w:w="113" w:type="dxa"/>
      <w:tblBorders>
        <w:top w:val="single" w:color="6773B6" w:sz="4" w:space="0"/>
        <w:bottom w:val="single" w:color="6773B6" w:sz="4" w:space="0"/>
        <w:insideH w:val="single" w:color="6773B6" w:sz="4" w:space="0"/>
        <w:insideV w:val="single" w:color="6773B6" w:sz="4" w:space="0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color="FFFFFF" w:themeColor="background1" w:sz="4" w:space="0"/>
        </w:tcBorders>
        <w:shd w:val="clear" w:color="auto" w:fill="6773B6"/>
      </w:tcPr>
    </w:tblStylePr>
  </w:style>
  <w:style w:type="paragraph" w:styleId="TableCopy" w:customStyle="1">
    <w:name w:val="Table Copy"/>
    <w:basedOn w:val="Normal"/>
    <w:uiPriority w:val="8"/>
    <w:semiHidden/>
    <w:rsid w:val="00BD2EC3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styleId="TableHeadings" w:customStyle="1">
    <w:name w:val="Table Headings"/>
    <w:basedOn w:val="Normal"/>
    <w:uiPriority w:val="8"/>
    <w:semiHidden/>
    <w:rsid w:val="004A525F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styleId="SchH7" w:customStyle="1">
    <w:name w:val="SchH7"/>
    <w:basedOn w:val="Normal"/>
    <w:uiPriority w:val="6"/>
    <w:rsid w:val="00CE05F0"/>
    <w:pPr>
      <w:numPr>
        <w:ilvl w:val="6"/>
        <w:numId w:val="33"/>
      </w:numPr>
      <w:spacing w:after="180" w:line="260" w:lineRule="atLeast"/>
    </w:pPr>
  </w:style>
  <w:style w:type="character" w:styleId="HeaderChar" w:customStyle="1">
    <w:name w:val="Header Char"/>
    <w:basedOn w:val="DefaultParagraphFont"/>
    <w:link w:val="Header"/>
    <w:uiPriority w:val="99"/>
    <w:rsid w:val="00BB1677"/>
    <w:rPr>
      <w:rFonts w:eastAsiaTheme="minorEastAsi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66AF"/>
    <w:rPr>
      <w:rFonts w:ascii="Tahoma" w:hAnsi="Tahoma" w:cs="Tahoma" w:eastAsiaTheme="minorEastAsi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324E5"/>
    <w:pPr>
      <w:spacing w:after="0" w:line="240" w:lineRule="auto"/>
    </w:pPr>
    <w:rPr>
      <w:rFonts w:ascii="Times New Roman" w:hAnsi="Times New Roman" w:cs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zmpTrailerItem" w:customStyle="1">
    <w:name w:val="zzmpTrailerItem"/>
    <w:basedOn w:val="DefaultParagraphFont"/>
    <w:rsid w:val="007B554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wText" w:customStyle="1">
    <w:name w:val="wText"/>
    <w:basedOn w:val="Normal"/>
    <w:link w:val="wTextChar"/>
    <w:uiPriority w:val="2"/>
    <w:qFormat/>
    <w:rsid w:val="00CC0D42"/>
    <w:p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wTextChar" w:customStyle="1">
    <w:name w:val="wText Char"/>
    <w:basedOn w:val="DefaultParagraphFont"/>
    <w:link w:val="wText"/>
    <w:uiPriority w:val="2"/>
    <w:rsid w:val="00CC0D42"/>
    <w:rPr>
      <w:rFonts w:ascii="Times New Roman" w:hAnsi="Times New Roman" w:cs="Times New Roman"/>
      <w:lang w:val="en-US" w:eastAsia="en-US"/>
    </w:rPr>
  </w:style>
  <w:style w:type="paragraph" w:styleId="DraftLineWC" w:customStyle="1">
    <w:name w:val="DraftLineW&amp;C"/>
    <w:basedOn w:val="Normal"/>
    <w:uiPriority w:val="99"/>
    <w:semiHidden/>
    <w:rsid w:val="005A3FC2"/>
    <w:pPr>
      <w:framePr w:w="5328" w:vSpace="187" w:hSpace="187" w:wrap="around" w:hAnchor="page" w:vAnchor="page" w:x="5761" w:y="721"/>
      <w:jc w:val="right"/>
    </w:pPr>
    <w:rPr>
      <w:rFonts w:ascii="Times New Roman" w:hAnsi="Times New Roman" w:eastAsia="Times New Roman" w:cs="Times New Roman"/>
      <w:sz w:val="20"/>
      <w:szCs w:val="24"/>
      <w:lang w:val="en-US" w:eastAsia="en-US"/>
    </w:rPr>
  </w:style>
  <w:style w:type="paragraph" w:styleId="wText1" w:customStyle="1">
    <w:name w:val="wText1"/>
    <w:basedOn w:val="Normal"/>
    <w:uiPriority w:val="1"/>
    <w:qFormat/>
    <w:rsid w:val="000857FF"/>
    <w:pPr>
      <w:spacing w:before="240" w:after="180"/>
      <w:ind w:left="72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wText2" w:customStyle="1">
    <w:name w:val="wText2"/>
    <w:basedOn w:val="Normal"/>
    <w:uiPriority w:val="2"/>
    <w:qFormat/>
    <w:rsid w:val="00F03965"/>
    <w:pPr>
      <w:spacing w:before="240" w:after="180"/>
      <w:ind w:left="144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1" w:customStyle="1">
    <w:name w:val="Appendix 1"/>
    <w:basedOn w:val="Normal"/>
    <w:next w:val="Appendix2"/>
    <w:uiPriority w:val="10"/>
    <w:qFormat/>
    <w:rsid w:val="00F03965"/>
    <w:pPr>
      <w:keepNext/>
      <w:numPr>
        <w:numId w:val="40"/>
      </w:numPr>
      <w:spacing w:before="360" w:after="180"/>
      <w:jc w:val="both"/>
    </w:pPr>
    <w:rPr>
      <w:rFonts w:ascii="Times New Roman" w:hAnsi="Times New Roman" w:eastAsia="PMingLiU" w:cs="Times New Roman"/>
      <w:b/>
      <w:bCs/>
      <w:sz w:val="26"/>
      <w:szCs w:val="30"/>
      <w:lang w:val="en-US" w:eastAsia="en-US"/>
    </w:rPr>
  </w:style>
  <w:style w:type="paragraph" w:styleId="Appendix2" w:customStyle="1">
    <w:name w:val="Appendix 2"/>
    <w:basedOn w:val="Normal"/>
    <w:next w:val="wText1"/>
    <w:uiPriority w:val="10"/>
    <w:qFormat/>
    <w:rsid w:val="00F03965"/>
    <w:pPr>
      <w:keepNext/>
      <w:numPr>
        <w:ilvl w:val="1"/>
        <w:numId w:val="40"/>
      </w:numPr>
      <w:spacing w:before="240" w:after="180"/>
      <w:jc w:val="both"/>
    </w:pPr>
    <w:rPr>
      <w:rFonts w:ascii="Times New Roman" w:hAnsi="Times New Roman" w:eastAsia="PMingLiU" w:cs="Times New Roman"/>
      <w:b/>
      <w:bCs/>
      <w:szCs w:val="22"/>
      <w:lang w:val="en-US" w:eastAsia="en-US"/>
    </w:rPr>
  </w:style>
  <w:style w:type="paragraph" w:styleId="Appendix3" w:customStyle="1">
    <w:name w:val="Appendix 3"/>
    <w:basedOn w:val="Normal"/>
    <w:next w:val="wText1"/>
    <w:uiPriority w:val="10"/>
    <w:qFormat/>
    <w:rsid w:val="00F03965"/>
    <w:pPr>
      <w:numPr>
        <w:ilvl w:val="2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4" w:customStyle="1">
    <w:name w:val="Appendix 4"/>
    <w:basedOn w:val="Normal"/>
    <w:next w:val="wText2"/>
    <w:uiPriority w:val="10"/>
    <w:qFormat/>
    <w:rsid w:val="00F03965"/>
    <w:pPr>
      <w:numPr>
        <w:ilvl w:val="3"/>
        <w:numId w:val="40"/>
      </w:numPr>
      <w:spacing w:before="240" w:after="180"/>
      <w:jc w:val="both"/>
    </w:pPr>
    <w:rPr>
      <w:rFonts w:ascii="Times New Roman" w:hAnsi="Times New Roman" w:eastAsia="PMingLiU" w:cs="Times New Roman"/>
      <w:iCs/>
      <w:szCs w:val="22"/>
      <w:lang w:val="en-US" w:eastAsia="en-US"/>
    </w:rPr>
  </w:style>
  <w:style w:type="paragraph" w:styleId="Appendix5" w:customStyle="1">
    <w:name w:val="Appendix 5"/>
    <w:basedOn w:val="Normal"/>
    <w:uiPriority w:val="10"/>
    <w:qFormat/>
    <w:rsid w:val="00F03965"/>
    <w:pPr>
      <w:numPr>
        <w:ilvl w:val="4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6" w:customStyle="1">
    <w:name w:val="Appendix 6"/>
    <w:basedOn w:val="Normal"/>
    <w:uiPriority w:val="10"/>
    <w:qFormat/>
    <w:rsid w:val="00F03965"/>
    <w:pPr>
      <w:numPr>
        <w:ilvl w:val="5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7" w:customStyle="1">
    <w:name w:val="Appendix 7"/>
    <w:basedOn w:val="Normal"/>
    <w:uiPriority w:val="10"/>
    <w:qFormat/>
    <w:rsid w:val="00F03965"/>
    <w:pPr>
      <w:numPr>
        <w:ilvl w:val="6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8" w:customStyle="1">
    <w:name w:val="Appendix 8"/>
    <w:basedOn w:val="Normal"/>
    <w:uiPriority w:val="10"/>
    <w:qFormat/>
    <w:rsid w:val="00F03965"/>
    <w:pPr>
      <w:numPr>
        <w:ilvl w:val="7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9" w:customStyle="1">
    <w:name w:val="Appendix 9"/>
    <w:basedOn w:val="Normal"/>
    <w:uiPriority w:val="10"/>
    <w:qFormat/>
    <w:rsid w:val="00F03965"/>
    <w:pPr>
      <w:numPr>
        <w:ilvl w:val="8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Heading8Char" w:customStyle="1">
    <w:name w:val="Heading 8 Char"/>
    <w:basedOn w:val="DefaultParagraphFont"/>
    <w:link w:val="Heading8"/>
    <w:rsid w:val="00480006"/>
    <w:rPr>
      <w:rFonts w:ascii="Times New Roman" w:hAnsi="Times New Roman" w:eastAsia="MS Mincho" w:cs="Times New Roman"/>
      <w:color w:val="5F5F5F" w:themeColor="text1"/>
      <w:lang w:val="en-GB" w:eastAsia="en-US"/>
    </w:rPr>
  </w:style>
  <w:style w:type="character" w:styleId="Heading9Char" w:customStyle="1">
    <w:name w:val="Heading 9 Char"/>
    <w:basedOn w:val="DefaultParagraphFont"/>
    <w:link w:val="Heading9"/>
    <w:rsid w:val="00480006"/>
    <w:rPr>
      <w:rFonts w:ascii="Times New Roman" w:hAnsi="Times New Roman" w:eastAsia="MS Mincho" w:cs="Times New Roman"/>
      <w:lang w:val="en-GB" w:eastAsia="en-US"/>
    </w:rPr>
  </w:style>
  <w:style w:type="paragraph" w:styleId="Text" w:customStyle="1">
    <w:name w:val="Text"/>
    <w:basedOn w:val="Normal"/>
    <w:uiPriority w:val="99"/>
    <w:qFormat/>
    <w:rsid w:val="00AA61FF"/>
    <w:pPr>
      <w:autoSpaceDE w:val="0"/>
      <w:autoSpaceDN w:val="0"/>
      <w:adjustRightInd w:val="0"/>
      <w:spacing w:after="240"/>
    </w:pPr>
    <w:rPr>
      <w:rFonts w:ascii="Times New Roman" w:hAnsi="Times New Roman" w:eastAsia="SimSun" w:cs="Times New Roman"/>
      <w:sz w:val="24"/>
      <w:szCs w:val="20"/>
      <w:lang w:eastAsia="en-GB"/>
    </w:rPr>
  </w:style>
  <w:style w:type="paragraph" w:styleId="wList1" w:customStyle="1">
    <w:name w:val="wList1"/>
    <w:basedOn w:val="Normal"/>
    <w:uiPriority w:val="7"/>
    <w:qFormat/>
    <w:rsid w:val="00FC3795"/>
    <w:pPr>
      <w:numPr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2" w:customStyle="1">
    <w:name w:val="wList2"/>
    <w:basedOn w:val="Normal"/>
    <w:uiPriority w:val="7"/>
    <w:qFormat/>
    <w:rsid w:val="00FC3795"/>
    <w:pPr>
      <w:numPr>
        <w:ilvl w:val="1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3" w:customStyle="1">
    <w:name w:val="wList3"/>
    <w:basedOn w:val="Normal"/>
    <w:uiPriority w:val="7"/>
    <w:qFormat/>
    <w:rsid w:val="00FC3795"/>
    <w:pPr>
      <w:numPr>
        <w:ilvl w:val="2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4" w:customStyle="1">
    <w:name w:val="wList4"/>
    <w:basedOn w:val="Normal"/>
    <w:uiPriority w:val="7"/>
    <w:qFormat/>
    <w:rsid w:val="00FC3795"/>
    <w:pPr>
      <w:numPr>
        <w:ilvl w:val="3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5" w:customStyle="1">
    <w:name w:val="wList5"/>
    <w:basedOn w:val="Normal"/>
    <w:uiPriority w:val="7"/>
    <w:qFormat/>
    <w:rsid w:val="00FC3795"/>
    <w:pPr>
      <w:numPr>
        <w:ilvl w:val="4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6" w:customStyle="1">
    <w:name w:val="wList6"/>
    <w:basedOn w:val="Normal"/>
    <w:uiPriority w:val="7"/>
    <w:qFormat/>
    <w:rsid w:val="00FC3795"/>
    <w:pPr>
      <w:numPr>
        <w:ilvl w:val="5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7" w:customStyle="1">
    <w:name w:val="wList7"/>
    <w:basedOn w:val="Normal"/>
    <w:uiPriority w:val="7"/>
    <w:qFormat/>
    <w:rsid w:val="00FC3795"/>
    <w:pPr>
      <w:numPr>
        <w:ilvl w:val="6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character" w:styleId="Heading2Char" w:customStyle="1">
    <w:name w:val="Heading 2 Char"/>
    <w:basedOn w:val="DefaultParagraphFont"/>
    <w:link w:val="Heading2"/>
    <w:rsid w:val="00DC2008"/>
    <w:rPr>
      <w:rFonts w:asciiTheme="majorHAnsi" w:hAnsiTheme="majorHAnsi" w:eastAsiaTheme="majorEastAsia" w:cstheme="majorHAnsi"/>
      <w:b/>
      <w:bCs/>
      <w:szCs w:val="28"/>
      <w:lang w:val="en-GB"/>
    </w:rPr>
  </w:style>
  <w:style w:type="paragraph" w:styleId="Revision">
    <w:name w:val="Revision"/>
    <w:hidden/>
    <w:uiPriority w:val="99"/>
    <w:semiHidden/>
    <w:rsid w:val="006427F7"/>
    <w:pPr>
      <w:spacing w:after="0" w:line="240" w:lineRule="auto"/>
    </w:pPr>
    <w:rPr>
      <w:rFonts w:eastAsiaTheme="minorEastAsia"/>
      <w:szCs w:val="28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6427F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Center" w:customStyle="1">
    <w:name w:val="wCenter"/>
    <w:basedOn w:val="Normal"/>
    <w:uiPriority w:val="5"/>
    <w:qFormat/>
    <w:rsid w:val="006427F7"/>
    <w:pPr>
      <w:spacing w:after="240"/>
      <w:jc w:val="center"/>
    </w:pPr>
    <w:rPr>
      <w:rFonts w:ascii="Times New Roman" w:hAnsi="Times New Roman" w:eastAsia="MS Mincho" w:cs="Times New Roman"/>
      <w:sz w:val="20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00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00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D008B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0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D008B"/>
    <w:rPr>
      <w:rFonts w:eastAsiaTheme="minorEastAsia"/>
      <w:b/>
      <w:bCs/>
      <w:sz w:val="20"/>
      <w:szCs w:val="20"/>
      <w:lang w:val="en-GB"/>
    </w:rPr>
  </w:style>
  <w:style w:type="paragraph" w:styleId="BodyTextFirstline" w:customStyle="1">
    <w:name w:val="Body Text (First line)"/>
    <w:basedOn w:val="Normal"/>
    <w:uiPriority w:val="11"/>
    <w:rsid w:val="00391175"/>
    <w:pPr>
      <w:spacing w:after="220"/>
      <w:ind w:firstLine="706"/>
    </w:pPr>
    <w:rPr>
      <w:sz w:val="20"/>
    </w:rPr>
  </w:style>
  <w:style w:type="paragraph" w:styleId="wTableFN6" w:customStyle="1">
    <w:name w:val="wTableFN6"/>
    <w:basedOn w:val="Normal"/>
    <w:uiPriority w:val="9"/>
    <w:qFormat/>
    <w:rsid w:val="00391175"/>
    <w:pPr>
      <w:spacing w:after="180"/>
      <w:ind w:left="720" w:hanging="720"/>
      <w:contextualSpacing/>
      <w:jc w:val="both"/>
    </w:pPr>
    <w:rPr>
      <w:rFonts w:ascii="Times New Roman" w:hAnsi="Times New Roman" w:eastAsia="MS Mincho" w:cs="Times New Roman"/>
      <w:sz w:val="12"/>
      <w:szCs w:val="22"/>
      <w:lang w:eastAsia="en-US"/>
    </w:rPr>
  </w:style>
  <w:style w:type="character" w:styleId="xn-money" w:customStyle="1">
    <w:name w:val="xn-money"/>
    <w:basedOn w:val="DefaultParagraphFont"/>
    <w:rsid w:val="003D6C2B"/>
  </w:style>
  <w:style w:type="character" w:styleId="UnresolvedMention">
    <w:name w:val="Unresolved Mention"/>
    <w:basedOn w:val="DefaultParagraphFont"/>
    <w:uiPriority w:val="99"/>
    <w:semiHidden/>
    <w:unhideWhenUsed/>
    <w:rsid w:val="0095433F"/>
    <w:rPr>
      <w:color w:val="605E5C"/>
      <w:shd w:val="clear" w:color="auto" w:fill="E1DFDD"/>
    </w:rPr>
  </w:style>
  <w:style w:type="paragraph" w:styleId="MacroText">
    <w:name w:val="macro"/>
    <w:link w:val="MacroTextChar"/>
    <w:semiHidden/>
    <w:unhideWhenUsed/>
    <w:rsid w:val="00CC5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eastAsiaTheme="minorEastAsia"/>
      <w:sz w:val="20"/>
      <w:szCs w:val="20"/>
      <w:lang w:val="en-GB"/>
    </w:rPr>
  </w:style>
  <w:style w:type="character" w:styleId="MacroTextChar" w:customStyle="1">
    <w:name w:val="Macro Text Char"/>
    <w:basedOn w:val="DefaultParagraphFont"/>
    <w:link w:val="MacroText"/>
    <w:semiHidden/>
    <w:rsid w:val="00CC575B"/>
    <w:rPr>
      <w:rFonts w:ascii="Consolas" w:hAnsi="Consolas" w:eastAsiaTheme="minorEastAsia"/>
      <w:sz w:val="20"/>
      <w:szCs w:val="20"/>
      <w:lang w:val="en-GB"/>
    </w:rPr>
  </w:style>
  <w:style w:type="character" w:styleId="ezkurwreuab5ozgtqnkl" w:customStyle="1">
    <w:name w:val="ezkurwreuab5ozgtqnkl"/>
    <w:basedOn w:val="DefaultParagraphFont"/>
    <w:rsid w:val="00FD5E83"/>
  </w:style>
  <w:style w:type="character" w:styleId="BodyTextChar" w:customStyle="1">
    <w:name w:val="Body Text Char"/>
    <w:basedOn w:val="DefaultParagraphFont"/>
    <w:link w:val="BodyText"/>
    <w:rsid w:val="00212160"/>
    <w:rPr>
      <w:rFonts w:eastAsiaTheme="minorEastAsia"/>
      <w:color w:val="000000" w:themeColor="text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m_europe_lm@jpmorgan.com" TargetMode="External" Id="rId13" /><Relationship Type="http://schemas.openxmlformats.org/officeDocument/2006/relationships/footer" Target="footer1.xml" Id="rId18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mailto:em_europe_lm@jpmorgan.com" TargetMode="External" Id="rId12" /><Relationship Type="http://schemas.openxmlformats.org/officeDocument/2006/relationships/header" Target="header2.xml" Id="rId17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styles" Target="styles.xml" Id="rId6" /><Relationship Type="http://schemas.openxmlformats.org/officeDocument/2006/relationships/hyperlink" Target="mailto:liabilitymanagement.europe@citi.co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deals.is.kroll.com/kmg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footnotes" Target="footnotes.xml" Id="rId9" /><Relationship Type="http://schemas.openxmlformats.org/officeDocument/2006/relationships/hyperlink" Target="mailto:kmg@is.kroll.com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2024-09-11T07:22:16.0000000Z</lastPrinted>
  <dcterms:created xsi:type="dcterms:W3CDTF">2024-09-11T07:22:16.0000000Z</dcterms:created>
  <dcterms:modified xsi:type="dcterms:W3CDTF">2024-09-11T07:22:16.0000000Z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RT_DocNumber">
    <vt:lpwstr/>
  </op:property>
  <op:property fmtid="{D5CDD505-2E9C-101B-9397-08002B2CF9AE}" pid="3" name="NRT_DocVersion">
    <vt:lpwstr/>
  </op:property>
  <op:property fmtid="{D5CDD505-2E9C-101B-9397-08002B2CF9AE}" pid="4" name="NRT_ELITE_CLIENT">
    <vt:lpwstr/>
  </op:property>
  <op:property fmtid="{D5CDD505-2E9C-101B-9397-08002B2CF9AE}" pid="5" name="NRT_ELITE_MATTER">
    <vt:lpwstr/>
  </op:property>
  <op:property fmtid="{D5CDD505-2E9C-101B-9397-08002B2CF9AE}" pid="6" name="pDocRef">
    <vt:lpwstr/>
  </op:property>
  <op:property fmtid="{D5CDD505-2E9C-101B-9397-08002B2CF9AE}" pid="7" name="pDocNumber">
    <vt:lpwstr/>
  </op:property>
  <op:property fmtid="{D5CDD505-2E9C-101B-9397-08002B2CF9AE}" pid="8" name="WCOffice">
    <vt:lpwstr>London</vt:lpwstr>
  </op:property>
  <op:property fmtid="{D5CDD505-2E9C-101B-9397-08002B2CF9AE}" pid="9" name="Language1">
    <vt:lpwstr>English (UK)</vt:lpwstr>
  </op:property>
  <op:property fmtid="{D5CDD505-2E9C-101B-9397-08002B2CF9AE}" pid="10" name="Office">
    <vt:lpwstr/>
  </op:property>
  <op:property fmtid="{D5CDD505-2E9C-101B-9397-08002B2CF9AE}" pid="11" name="DateFormat">
    <vt:lpwstr>DAY MONTH YEAR</vt:lpwstr>
  </op:property>
</op:Properties>
</file>